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6E3BC"/>
  <w:body>
    <w:p w:rsidR="00363427" w:rsidRPr="00214944" w:rsidRDefault="00363427" w:rsidP="00467313">
      <w:pPr>
        <w:pBdr>
          <w:bottom w:val="thickThinSmallGap" w:sz="24" w:space="1" w:color="6529D1"/>
        </w:pBdr>
        <w:spacing w:after="0"/>
        <w:rPr>
          <w:color w:val="0000FA"/>
          <w:sz w:val="20"/>
        </w:rPr>
      </w:pPr>
    </w:p>
    <w:p w:rsidR="00363427" w:rsidRPr="00214944" w:rsidRDefault="00363427" w:rsidP="00214944">
      <w:pPr>
        <w:pBdr>
          <w:bottom w:val="thickThinSmallGap" w:sz="24" w:space="1" w:color="6529D1"/>
        </w:pBdr>
        <w:spacing w:after="0"/>
        <w:jc w:val="right"/>
        <w:rPr>
          <w:color w:val="0000FA"/>
          <w:sz w:val="20"/>
        </w:rPr>
      </w:pPr>
    </w:p>
    <w:p w:rsidR="00363427" w:rsidRPr="00DB006C" w:rsidRDefault="00363427" w:rsidP="00467313">
      <w:pPr>
        <w:spacing w:after="0"/>
        <w:rPr>
          <w:rFonts w:ascii="Arial" w:hAnsi="Arial" w:cs="Arial"/>
          <w:b/>
          <w:color w:val="0000FA"/>
          <w:sz w:val="16"/>
        </w:rPr>
      </w:pPr>
    </w:p>
    <w:p w:rsidR="00363427" w:rsidRPr="00147F09" w:rsidRDefault="00363427" w:rsidP="006E5A6C">
      <w:pPr>
        <w:shd w:val="clear" w:color="auto" w:fill="D99594"/>
        <w:spacing w:after="0"/>
        <w:rPr>
          <w:color w:val="0000FA"/>
          <w:sz w:val="28"/>
        </w:rPr>
      </w:pPr>
      <w:r w:rsidRPr="006250E0">
        <w:rPr>
          <w:rFonts w:ascii="Arial" w:hAnsi="Arial" w:cs="Arial"/>
          <w:b/>
          <w:i/>
          <w:color w:val="0000FA"/>
          <w:sz w:val="48"/>
        </w:rPr>
        <w:t>e</w:t>
      </w:r>
      <w:r>
        <w:rPr>
          <w:rFonts w:ascii="Arial" w:hAnsi="Arial" w:cs="Arial"/>
          <w:b/>
          <w:i/>
          <w:color w:val="0000FA"/>
          <w:sz w:val="40"/>
        </w:rPr>
        <w:t>–</w:t>
      </w:r>
      <w:r w:rsidRPr="00467313">
        <w:rPr>
          <w:rFonts w:ascii="Arial" w:hAnsi="Arial" w:cs="Arial"/>
          <w:b/>
          <w:i/>
          <w:caps/>
          <w:color w:val="0000FA"/>
          <w:sz w:val="48"/>
        </w:rPr>
        <w:t>info</w:t>
      </w:r>
      <w:r>
        <w:rPr>
          <w:rFonts w:ascii="Arial" w:hAnsi="Arial" w:cs="Arial"/>
          <w:b/>
          <w:color w:val="0000FA"/>
          <w:sz w:val="48"/>
        </w:rPr>
        <w:t>1</w:t>
      </w:r>
      <w:r>
        <w:rPr>
          <w:rFonts w:ascii="Arial" w:hAnsi="Arial" w:cs="Arial"/>
          <w:color w:val="0000FA"/>
          <w:sz w:val="28"/>
        </w:rPr>
        <w:t>/květ</w:t>
      </w:r>
      <w:r w:rsidRPr="00147F09">
        <w:rPr>
          <w:rFonts w:ascii="Arial" w:hAnsi="Arial" w:cs="Arial"/>
          <w:color w:val="0000FA"/>
          <w:sz w:val="28"/>
        </w:rPr>
        <w:t>en</w:t>
      </w:r>
      <w:r w:rsidRPr="00147F09">
        <w:rPr>
          <w:color w:val="0000FA"/>
          <w:sz w:val="28"/>
        </w:rPr>
        <w:t>2012</w:t>
      </w:r>
    </w:p>
    <w:p w:rsidR="00363427" w:rsidRPr="00214944" w:rsidRDefault="00363427" w:rsidP="00214944">
      <w:pPr>
        <w:pBdr>
          <w:bottom w:val="thinThickSmallGap" w:sz="24" w:space="1" w:color="6529D1"/>
        </w:pBdr>
        <w:spacing w:after="0"/>
        <w:rPr>
          <w:sz w:val="16"/>
        </w:rPr>
      </w:pPr>
    </w:p>
    <w:p w:rsidR="00363427" w:rsidRPr="00D066DE" w:rsidRDefault="00363427" w:rsidP="00933A7F">
      <w:pPr>
        <w:spacing w:after="0"/>
        <w:jc w:val="right"/>
        <w:rPr>
          <w:i/>
          <w:color w:val="0000FA"/>
          <w:sz w:val="20"/>
        </w:rPr>
      </w:pPr>
      <w:r w:rsidRPr="00D066DE">
        <w:rPr>
          <w:i/>
          <w:color w:val="0000FA"/>
          <w:sz w:val="20"/>
        </w:rPr>
        <w:t>pouze prostřednictvím e-mailu</w:t>
      </w:r>
    </w:p>
    <w:p w:rsidR="00363427" w:rsidRDefault="00363427" w:rsidP="00147F09">
      <w:pPr>
        <w:spacing w:after="0"/>
        <w:rPr>
          <w:sz w:val="28"/>
        </w:rPr>
      </w:pPr>
    </w:p>
    <w:p w:rsidR="00363427" w:rsidRDefault="00363427" w:rsidP="00147F09">
      <w:pPr>
        <w:spacing w:after="0"/>
        <w:rPr>
          <w:sz w:val="28"/>
        </w:rPr>
      </w:pPr>
      <w:bookmarkStart w:id="0" w:name="_GoBack"/>
      <w:bookmarkEnd w:id="0"/>
    </w:p>
    <w:p w:rsidR="00363427" w:rsidRPr="00933A7F" w:rsidRDefault="00363427" w:rsidP="00147F09">
      <w:pPr>
        <w:spacing w:after="0"/>
        <w:rPr>
          <w:b/>
          <w:color w:val="EEECE1"/>
          <w:sz w:val="28"/>
        </w:rPr>
      </w:pPr>
      <w:r w:rsidRPr="00933A7F">
        <w:rPr>
          <w:b/>
          <w:color w:val="EEECE1"/>
          <w:sz w:val="28"/>
        </w:rPr>
        <w:t>ÚVOD</w:t>
      </w:r>
    </w:p>
    <w:p w:rsidR="00363427" w:rsidRDefault="00363427" w:rsidP="00147F09">
      <w:pPr>
        <w:spacing w:after="0"/>
        <w:rPr>
          <w:b/>
          <w:sz w:val="28"/>
        </w:rPr>
      </w:pPr>
    </w:p>
    <w:p w:rsidR="00363427" w:rsidRDefault="00363427" w:rsidP="00933A7F">
      <w:pPr>
        <w:spacing w:after="0"/>
        <w:rPr>
          <w:i/>
          <w:szCs w:val="24"/>
        </w:rPr>
        <w:sectPr w:rsidR="00363427" w:rsidSect="004366FB">
          <w:headerReference w:type="default" r:id="rId7"/>
          <w:footerReference w:type="default" r:id="rId8"/>
          <w:pgSz w:w="11906" w:h="16838"/>
          <w:pgMar w:top="962" w:right="1417" w:bottom="1417" w:left="1417" w:header="284" w:footer="708" w:gutter="0"/>
          <w:cols w:space="708"/>
          <w:docGrid w:linePitch="360"/>
        </w:sectPr>
      </w:pPr>
    </w:p>
    <w:p w:rsidR="00363427" w:rsidRDefault="00363427" w:rsidP="00933A7F">
      <w:pPr>
        <w:spacing w:after="0"/>
        <w:rPr>
          <w:i/>
          <w:szCs w:val="24"/>
        </w:rPr>
      </w:pPr>
      <w:r w:rsidRPr="00933A7F">
        <w:rPr>
          <w:i/>
          <w:szCs w:val="24"/>
        </w:rPr>
        <w:t>Odbor sportu Ministerstv</w:t>
      </w:r>
      <w:r>
        <w:rPr>
          <w:i/>
          <w:szCs w:val="24"/>
        </w:rPr>
        <w:t>a</w:t>
      </w:r>
      <w:r w:rsidRPr="00933A7F">
        <w:rPr>
          <w:i/>
          <w:szCs w:val="24"/>
        </w:rPr>
        <w:t xml:space="preserve"> školství, mládeže a tělovýchovy</w:t>
      </w:r>
      <w:r>
        <w:rPr>
          <w:i/>
          <w:szCs w:val="24"/>
        </w:rPr>
        <w:t xml:space="preserve"> v letošním roce dostává dotazy od sportovních svazů a dalších příjemců státní dotace, které se ve větší míře opakují. </w:t>
      </w:r>
    </w:p>
    <w:p w:rsidR="00363427" w:rsidRDefault="00363427" w:rsidP="00933A7F">
      <w:pPr>
        <w:spacing w:after="0"/>
        <w:rPr>
          <w:i/>
          <w:szCs w:val="24"/>
        </w:rPr>
      </w:pPr>
      <w:r>
        <w:rPr>
          <w:i/>
          <w:szCs w:val="24"/>
        </w:rPr>
        <w:t xml:space="preserve">Proto přicházíme s doplňujícím nástrojem poskytování informací a vysvětlením některých problematik či aktuálních záležitostí. Naší snahou je zpřesnit stávající informace týkající se zejména poskytování, čerpání a konečném vyúčtování státních prostředků. </w:t>
      </w:r>
    </w:p>
    <w:p w:rsidR="00363427" w:rsidRDefault="00363427" w:rsidP="00933A7F">
      <w:pPr>
        <w:spacing w:after="0"/>
        <w:rPr>
          <w:i/>
          <w:szCs w:val="24"/>
        </w:rPr>
      </w:pPr>
      <w:r>
        <w:rPr>
          <w:i/>
          <w:szCs w:val="24"/>
        </w:rPr>
        <w:t xml:space="preserve">Současně máme v plánu v dalších číslech elektronických informací - „e-INFO“ zástupce sportovních svazů a sportovních organizací informovat např. o vyhlášení „Státní podpory sportu“, o případné aktualizaci podmínek při podávání žádostí apod. </w:t>
      </w:r>
    </w:p>
    <w:p w:rsidR="00363427" w:rsidRDefault="00363427" w:rsidP="00933A7F">
      <w:pPr>
        <w:spacing w:after="0"/>
        <w:rPr>
          <w:i/>
          <w:szCs w:val="24"/>
        </w:rPr>
      </w:pPr>
      <w:r>
        <w:rPr>
          <w:i/>
          <w:szCs w:val="24"/>
        </w:rPr>
        <w:t>Z tohoto důvodu budou„e-INFO“ zpracovávány nepravidelně a budou reagovat na důležité otázky, připomínky, zejména k dotacím ve sportu.</w:t>
      </w:r>
    </w:p>
    <w:p w:rsidR="00363427" w:rsidRDefault="00363427" w:rsidP="00933A7F">
      <w:pPr>
        <w:spacing w:after="0"/>
        <w:rPr>
          <w:i/>
          <w:szCs w:val="24"/>
        </w:rPr>
      </w:pPr>
      <w:r>
        <w:rPr>
          <w:i/>
          <w:szCs w:val="24"/>
        </w:rPr>
        <w:t>Jelikož se jedná o novou záležitost, která je spíše interního charakteru, budeme rozesílat tato sdělení pouze sportovním svazům a sportovním organizacím, které již realizují přidělené státní dotace v roce 2012. Předávání se uskuteční pouze elektronicky, prostřednictvím e-mailové adresy svazu, kterou máme na odboru sportu v evidenci (aktuální adresa podle vyplněné žádosti).</w:t>
      </w:r>
    </w:p>
    <w:p w:rsidR="00363427" w:rsidRDefault="00363427" w:rsidP="00933A7F">
      <w:pPr>
        <w:spacing w:after="0"/>
        <w:rPr>
          <w:i/>
          <w:szCs w:val="24"/>
        </w:rPr>
      </w:pPr>
      <w:r>
        <w:rPr>
          <w:i/>
          <w:szCs w:val="24"/>
        </w:rPr>
        <w:t xml:space="preserve">Změny, úpravy, případně rozšíření kontaktu na další statutární – zodpovědné osoby u jednotlivých subjektů je možno nahlásit na adresu: </w:t>
      </w:r>
      <w:hyperlink r:id="rId9" w:history="1">
        <w:r w:rsidRPr="00CC617C">
          <w:rPr>
            <w:rStyle w:val="Hyperlink"/>
            <w:i/>
            <w:szCs w:val="24"/>
          </w:rPr>
          <w:t>sport@msmt.cz</w:t>
        </w:r>
      </w:hyperlink>
      <w:r>
        <w:rPr>
          <w:i/>
          <w:szCs w:val="24"/>
        </w:rPr>
        <w:t>.</w:t>
      </w:r>
    </w:p>
    <w:p w:rsidR="00363427" w:rsidRDefault="00363427" w:rsidP="00933A7F">
      <w:pPr>
        <w:spacing w:after="0"/>
        <w:rPr>
          <w:i/>
          <w:szCs w:val="24"/>
        </w:rPr>
        <w:sectPr w:rsidR="00363427" w:rsidSect="00C166F8">
          <w:type w:val="continuous"/>
          <w:pgSz w:w="11906" w:h="16838"/>
          <w:pgMar w:top="962" w:right="1417" w:bottom="1417" w:left="1417" w:header="284" w:footer="708" w:gutter="0"/>
          <w:cols w:num="2" w:sep="1" w:space="709"/>
          <w:docGrid w:linePitch="360"/>
        </w:sectPr>
      </w:pPr>
    </w:p>
    <w:p w:rsidR="00363427" w:rsidRPr="00933A7F" w:rsidRDefault="00363427" w:rsidP="00933A7F">
      <w:pPr>
        <w:spacing w:after="0"/>
        <w:rPr>
          <w:i/>
          <w:szCs w:val="24"/>
        </w:rPr>
      </w:pPr>
    </w:p>
    <w:p w:rsidR="00363427" w:rsidRDefault="00363427" w:rsidP="00147F09">
      <w:pPr>
        <w:spacing w:after="0"/>
        <w:rPr>
          <w:b/>
          <w:sz w:val="28"/>
        </w:rPr>
        <w:sectPr w:rsidR="00363427" w:rsidSect="00A353C4">
          <w:type w:val="continuous"/>
          <w:pgSz w:w="11906" w:h="16838"/>
          <w:pgMar w:top="962" w:right="1417" w:bottom="1417" w:left="1417" w:header="284" w:footer="708" w:gutter="0"/>
          <w:cols w:num="2" w:space="708"/>
          <w:docGrid w:linePitch="360"/>
        </w:sectPr>
      </w:pPr>
    </w:p>
    <w:p w:rsidR="00363427" w:rsidRDefault="00363427" w:rsidP="00147F09">
      <w:pPr>
        <w:spacing w:after="0"/>
        <w:rPr>
          <w:b/>
          <w:sz w:val="28"/>
        </w:rPr>
      </w:pPr>
    </w:p>
    <w:p w:rsidR="00363427" w:rsidRDefault="00363427" w:rsidP="00147F09">
      <w:pPr>
        <w:spacing w:after="0"/>
        <w:rPr>
          <w:b/>
          <w:sz w:val="28"/>
        </w:rPr>
      </w:pPr>
    </w:p>
    <w:p w:rsidR="00363427" w:rsidRPr="00933A7F" w:rsidRDefault="00363427" w:rsidP="00933A7F">
      <w:pPr>
        <w:spacing w:after="0"/>
        <w:rPr>
          <w:b/>
          <w:color w:val="EEECE1"/>
          <w:sz w:val="28"/>
        </w:rPr>
      </w:pPr>
      <w:r w:rsidRPr="00933A7F">
        <w:rPr>
          <w:b/>
          <w:color w:val="EEECE1"/>
          <w:sz w:val="28"/>
        </w:rPr>
        <w:t>OBECNÉ ZÁLEŽITOSTI</w:t>
      </w:r>
    </w:p>
    <w:p w:rsidR="00363427" w:rsidRDefault="00363427" w:rsidP="00933A7F">
      <w:pPr>
        <w:spacing w:after="0"/>
        <w:rPr>
          <w:b/>
        </w:rPr>
      </w:pPr>
    </w:p>
    <w:p w:rsidR="00363427" w:rsidRDefault="00363427" w:rsidP="00FD2CE3">
      <w:pPr>
        <w:pStyle w:val="ListParagraph"/>
        <w:numPr>
          <w:ilvl w:val="0"/>
          <w:numId w:val="1"/>
        </w:numPr>
        <w:spacing w:after="0"/>
        <w:ind w:left="426" w:hanging="426"/>
      </w:pPr>
      <w:r>
        <w:t xml:space="preserve">Nejdůležitější záležitostí v současné době je aktualizace zákona č. 137/2006 Sb., o veřejných zakázkách, ve znění pozdějších předpisů, k 1. 4. 2012. Jedná se o vymezení spoluúčasti při obdržení státní dotace, a to již od výše 50 % nákladů projektů. V současné době je již zveřejněno na adrese: </w:t>
      </w:r>
      <w:hyperlink r:id="rId10" w:history="1">
        <w:r w:rsidRPr="00CC617C">
          <w:rPr>
            <w:rStyle w:val="Hyperlink"/>
          </w:rPr>
          <w:t>www.msmt.cz</w:t>
        </w:r>
      </w:hyperlink>
      <w:r>
        <w:t xml:space="preserve"> – sport – dotace – neinvestice/investice.</w:t>
      </w:r>
    </w:p>
    <w:p w:rsidR="00363427" w:rsidRDefault="00363427" w:rsidP="00391D65">
      <w:pPr>
        <w:spacing w:after="0"/>
      </w:pPr>
    </w:p>
    <w:p w:rsidR="00363427" w:rsidRDefault="00363427" w:rsidP="00391D65">
      <w:pPr>
        <w:pStyle w:val="ListParagraph"/>
        <w:numPr>
          <w:ilvl w:val="0"/>
          <w:numId w:val="1"/>
        </w:numPr>
        <w:spacing w:after="0"/>
        <w:ind w:left="426" w:hanging="426"/>
      </w:pPr>
      <w:r>
        <w:t xml:space="preserve">Sdělení pro příjemce státní dotace: V současné době jsou rozesílány poslední Rozhodnutí k realizaci státní dotace. Rozhodnutí podepsané a vrácené na MŠMT jsou již administrované na ministerstvu (cca 5 až 10 dnů), a pak ihned jsou finanční prostředky převedeny na bankovní účty příjemců. Dle sdělení účtárny MŠMT je 95% dotací odesláno na příslušné bankovní účty. </w:t>
      </w:r>
    </w:p>
    <w:p w:rsidR="00363427" w:rsidRDefault="00363427" w:rsidP="00E23C2A">
      <w:pPr>
        <w:pStyle w:val="ListParagraph"/>
      </w:pPr>
    </w:p>
    <w:p w:rsidR="00363427" w:rsidRPr="00FD2CE3" w:rsidRDefault="00363427" w:rsidP="00391D65">
      <w:pPr>
        <w:pStyle w:val="ListParagraph"/>
        <w:numPr>
          <w:ilvl w:val="0"/>
          <w:numId w:val="1"/>
        </w:numPr>
        <w:spacing w:after="0"/>
        <w:ind w:left="426" w:hanging="426"/>
      </w:pPr>
      <w:r>
        <w:t xml:space="preserve">Upozornění na účelové využití a výši finančních prostředků, zejména u Programu V – Organizace sportu. Překvapení u některých svazů a nedostatečný přístup k čerpání dotace nás vede k vypracování doplňku „Rozhodnutí“, který bude rozesílán příjemcům. Současně je níže uvedeno bližší vysvětlení ktomutoprogramu.  </w:t>
      </w:r>
    </w:p>
    <w:p w:rsidR="00363427" w:rsidRDefault="00363427" w:rsidP="00933A7F">
      <w:pPr>
        <w:spacing w:after="0"/>
        <w:rPr>
          <w:b/>
          <w:sz w:val="28"/>
        </w:rPr>
      </w:pPr>
    </w:p>
    <w:p w:rsidR="00363427" w:rsidRPr="00933A7F" w:rsidRDefault="00363427" w:rsidP="00933A7F">
      <w:pPr>
        <w:spacing w:after="0"/>
        <w:rPr>
          <w:b/>
          <w:color w:val="EEECE1"/>
          <w:sz w:val="28"/>
        </w:rPr>
      </w:pPr>
      <w:r w:rsidRPr="00933A7F">
        <w:rPr>
          <w:b/>
          <w:color w:val="EEECE1"/>
          <w:sz w:val="28"/>
        </w:rPr>
        <w:t>PROBLEMATIKA U PROGRAMŮ</w:t>
      </w:r>
    </w:p>
    <w:p w:rsidR="00363427" w:rsidRDefault="00363427" w:rsidP="00147F09">
      <w:pPr>
        <w:spacing w:after="0"/>
        <w:rPr>
          <w:b/>
          <w:sz w:val="28"/>
        </w:rPr>
      </w:pPr>
    </w:p>
    <w:p w:rsidR="00363427" w:rsidRDefault="00363427" w:rsidP="00147F09">
      <w:pPr>
        <w:spacing w:after="0"/>
        <w:rPr>
          <w:b/>
          <w:sz w:val="28"/>
        </w:rPr>
      </w:pPr>
    </w:p>
    <w:p w:rsidR="00363427" w:rsidRDefault="00363427" w:rsidP="00147F09">
      <w:pPr>
        <w:spacing w:after="0"/>
        <w:rPr>
          <w:b/>
          <w:sz w:val="28"/>
        </w:rPr>
      </w:pPr>
    </w:p>
    <w:p w:rsidR="00363427" w:rsidRPr="00D065D2" w:rsidRDefault="00363427" w:rsidP="00397729">
      <w:pPr>
        <w:pBdr>
          <w:top w:val="single" w:sz="18" w:space="1" w:color="E36C0A"/>
          <w:left w:val="single" w:sz="18" w:space="4" w:color="E36C0A"/>
          <w:bottom w:val="single" w:sz="18" w:space="8" w:color="E36C0A"/>
          <w:right w:val="single" w:sz="18" w:space="4" w:color="E36C0A"/>
        </w:pBdr>
        <w:spacing w:after="0"/>
        <w:rPr>
          <w:b/>
          <w:sz w:val="12"/>
        </w:rPr>
      </w:pPr>
    </w:p>
    <w:p w:rsidR="00363427" w:rsidRDefault="00363427" w:rsidP="00D01A75">
      <w:pPr>
        <w:pBdr>
          <w:top w:val="single" w:sz="18" w:space="1" w:color="E36C0A"/>
          <w:left w:val="single" w:sz="18" w:space="4" w:color="E36C0A"/>
          <w:bottom w:val="single" w:sz="18" w:space="8" w:color="E36C0A"/>
          <w:right w:val="single" w:sz="18" w:space="4" w:color="E36C0A"/>
        </w:pBdr>
        <w:spacing w:after="0"/>
        <w:rPr>
          <w:b/>
          <w:sz w:val="28"/>
        </w:rPr>
      </w:pPr>
      <w:r>
        <w:rPr>
          <w:b/>
          <w:sz w:val="28"/>
        </w:rPr>
        <w:t>Program I   -   Sportovní reprezentace</w:t>
      </w:r>
    </w:p>
    <w:p w:rsidR="00363427" w:rsidRDefault="00363427" w:rsidP="00D065D2">
      <w:pPr>
        <w:spacing w:after="0"/>
        <w:rPr>
          <w:rFonts w:ascii="Cambria" w:hAnsi="Cambria"/>
          <w:i/>
          <w:iCs/>
          <w:color w:val="595959"/>
        </w:rPr>
      </w:pPr>
    </w:p>
    <w:p w:rsidR="00363427" w:rsidRDefault="00363427" w:rsidP="00D065D2">
      <w:pPr>
        <w:spacing w:after="0"/>
        <w:rPr>
          <w:rFonts w:ascii="Cambria" w:hAnsi="Cambria"/>
          <w:i/>
          <w:iCs/>
          <w:color w:val="595959"/>
        </w:rPr>
      </w:pPr>
    </w:p>
    <w:p w:rsidR="00363427" w:rsidRDefault="00363427" w:rsidP="00D065D2">
      <w:pPr>
        <w:spacing w:after="0"/>
        <w:rPr>
          <w:rFonts w:ascii="Cambria" w:hAnsi="Cambria"/>
          <w:i/>
          <w:iCs/>
          <w:color w:val="595959"/>
        </w:rPr>
      </w:pPr>
      <w:r>
        <w:rPr>
          <w:noProof/>
          <w:lang w:eastAsia="cs-CZ"/>
        </w:rPr>
        <w:pict>
          <v:group id="Skupina 6" o:spid="_x0000_s1027" style="position:absolute;left:0;text-align:left;margin-left:467.1pt;margin-top:185pt;width:58.3pt;height:61.2pt;rotation:90;z-index:251659776;mso-position-horizontal-relative:page;mso-position-vertical-relative:page" coordorigin="10217,9410" coordsize="1565,59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8" o:spid="_x0000_s1028" type="#_x0000_t55" style="position:absolute;left:11100;top:9410;width:682;height:590;visibility:visible" adj="10330" fillcolor="#c4bc96" stroked="f" strokecolor="white"/>
            <v:shape id="AutoShape 9" o:spid="_x0000_s1029" type="#_x0000_t55" style="position:absolute;left:10659;top:9410;width:682;height:590;visibility:visible" adj="10330" fillcolor="#938953" stroked="f" strokecolor="white"/>
            <v:shape id="AutoShape 10" o:spid="_x0000_s1030" type="#_x0000_t55" style="position:absolute;left:10217;top:9410;width:682;height:590;visibility:visible" adj="10834" fillcolor="#484329" stroked="f" strokecolor="white"/>
            <w10:wrap anchorx="page" anchory="page"/>
          </v:group>
        </w:pict>
      </w:r>
    </w:p>
    <w:p w:rsidR="00363427" w:rsidRDefault="00363427" w:rsidP="00147F09">
      <w:pPr>
        <w:spacing w:after="0"/>
        <w:rPr>
          <w:b/>
          <w:sz w:val="28"/>
        </w:rPr>
      </w:pPr>
    </w:p>
    <w:p w:rsidR="00363427" w:rsidRDefault="00363427" w:rsidP="00147F09">
      <w:pPr>
        <w:spacing w:after="0"/>
        <w:rPr>
          <w:b/>
          <w:sz w:val="28"/>
        </w:rPr>
      </w:pPr>
    </w:p>
    <w:p w:rsidR="00363427" w:rsidRDefault="00363427" w:rsidP="00147F09">
      <w:pPr>
        <w:spacing w:after="0"/>
        <w:rPr>
          <w:b/>
          <w:sz w:val="28"/>
        </w:rPr>
      </w:pPr>
    </w:p>
    <w:p w:rsidR="00363427" w:rsidRDefault="00363427" w:rsidP="008112CA">
      <w:pPr>
        <w:pBdr>
          <w:top w:val="single" w:sz="12" w:space="1" w:color="0000FA"/>
        </w:pBdr>
        <w:spacing w:after="0"/>
        <w:rPr>
          <w:b/>
          <w:sz w:val="28"/>
        </w:rPr>
      </w:pPr>
    </w:p>
    <w:p w:rsidR="00363427" w:rsidRPr="00A72F83" w:rsidRDefault="00363427" w:rsidP="008A393B">
      <w:pPr>
        <w:pStyle w:val="ListParagraph"/>
        <w:numPr>
          <w:ilvl w:val="0"/>
          <w:numId w:val="4"/>
        </w:numPr>
        <w:tabs>
          <w:tab w:val="left" w:pos="6804"/>
        </w:tabs>
        <w:spacing w:before="120" w:after="0"/>
        <w:ind w:left="567" w:right="-15" w:hanging="567"/>
        <w:rPr>
          <w:rFonts w:ascii="Cambria" w:hAnsi="Cambria"/>
          <w:b/>
          <w:iCs/>
          <w:color w:val="595959"/>
        </w:rPr>
      </w:pPr>
      <w:r w:rsidRPr="00A72F83">
        <w:rPr>
          <w:b/>
        </w:rPr>
        <w:t xml:space="preserve">Dotaz: Je pro rok 2012 </w:t>
      </w:r>
      <w:r>
        <w:rPr>
          <w:b/>
        </w:rPr>
        <w:t xml:space="preserve">stanoveno </w:t>
      </w:r>
      <w:r w:rsidRPr="00A72F83">
        <w:rPr>
          <w:b/>
        </w:rPr>
        <w:t xml:space="preserve">nové pořadí </w:t>
      </w:r>
      <w:r>
        <w:rPr>
          <w:b/>
        </w:rPr>
        <w:t xml:space="preserve">sportovních </w:t>
      </w:r>
      <w:r w:rsidRPr="00A72F83">
        <w:rPr>
          <w:b/>
        </w:rPr>
        <w:t>svazů</w:t>
      </w:r>
      <w:r>
        <w:rPr>
          <w:b/>
        </w:rPr>
        <w:t xml:space="preserve"> vtzv. </w:t>
      </w:r>
      <w:r w:rsidRPr="00A72F83">
        <w:rPr>
          <w:b/>
        </w:rPr>
        <w:t>TOP</w:t>
      </w:r>
      <w:r>
        <w:rPr>
          <w:b/>
        </w:rPr>
        <w:t>?</w:t>
      </w:r>
    </w:p>
    <w:p w:rsidR="00363427" w:rsidRPr="003F58FB" w:rsidRDefault="00363427" w:rsidP="008A393B">
      <w:pPr>
        <w:tabs>
          <w:tab w:val="left" w:pos="6804"/>
        </w:tabs>
        <w:spacing w:before="60" w:after="0"/>
        <w:ind w:left="1560" w:right="-15" w:hanging="993"/>
        <w:rPr>
          <w:rFonts w:ascii="Cambria" w:hAnsi="Cambria"/>
          <w:i/>
          <w:iCs/>
          <w:color w:val="0000FA"/>
          <w:sz w:val="22"/>
        </w:rPr>
      </w:pPr>
      <w:r w:rsidRPr="003F58FB">
        <w:rPr>
          <w:rFonts w:ascii="Cambria" w:hAnsi="Cambria"/>
          <w:i/>
          <w:iCs/>
          <w:color w:val="0000FA"/>
          <w:sz w:val="22"/>
        </w:rPr>
        <w:t>Odpověď: Pro rok 2012 není výpočet úspěšnosti, proto není ani stanoven nový TOP. Finanční objem byl vypočten průměrem za období 4 roků – 2008 až 2011 za oblast přípravy, MTZ a sport</w:t>
      </w:r>
      <w:r>
        <w:rPr>
          <w:rFonts w:ascii="Cambria" w:hAnsi="Cambria"/>
          <w:i/>
          <w:iCs/>
          <w:color w:val="0000FA"/>
          <w:sz w:val="22"/>
        </w:rPr>
        <w:t>ovních</w:t>
      </w:r>
      <w:r w:rsidRPr="003F58FB">
        <w:rPr>
          <w:rFonts w:ascii="Cambria" w:hAnsi="Cambria"/>
          <w:i/>
          <w:iCs/>
          <w:color w:val="0000FA"/>
          <w:sz w:val="22"/>
        </w:rPr>
        <w:t xml:space="preserve"> výsledků (úspěšnost příslušných roků). Pouze u schválených akcí roku 2012 proběhl aktuální výpočet.</w:t>
      </w:r>
    </w:p>
    <w:p w:rsidR="00363427" w:rsidRPr="003F58FB" w:rsidRDefault="00363427" w:rsidP="008A393B">
      <w:pPr>
        <w:tabs>
          <w:tab w:val="left" w:pos="6804"/>
        </w:tabs>
        <w:spacing w:before="60" w:after="0"/>
        <w:ind w:left="2410" w:right="-15" w:hanging="1843"/>
        <w:rPr>
          <w:rFonts w:ascii="Cambria" w:hAnsi="Cambria"/>
          <w:i/>
          <w:iCs/>
          <w:color w:val="595959"/>
          <w:sz w:val="22"/>
        </w:rPr>
      </w:pPr>
      <w:r w:rsidRPr="00860ADC">
        <w:rPr>
          <w:rFonts w:ascii="Cambria" w:hAnsi="Cambria"/>
          <w:i/>
          <w:iCs/>
          <w:sz w:val="22"/>
          <w:u w:val="single"/>
        </w:rPr>
        <w:t>Důvod:</w:t>
      </w:r>
      <w:r w:rsidRPr="003F58FB">
        <w:rPr>
          <w:rFonts w:ascii="Cambria" w:hAnsi="Cambria"/>
          <w:i/>
          <w:iCs/>
          <w:color w:val="595959"/>
          <w:sz w:val="22"/>
        </w:rPr>
        <w:t xml:space="preserve">Předání informace o celkovém finančním objemu v co nejkratším čase pro sportovní svazy a urychlení poskytnutí státní podpory, zejména pro zabezpečení sport. přípravy před LOH v Londýně.  </w:t>
      </w:r>
    </w:p>
    <w:p w:rsidR="00363427" w:rsidRDefault="00363427" w:rsidP="008A393B">
      <w:pPr>
        <w:tabs>
          <w:tab w:val="left" w:pos="6804"/>
        </w:tabs>
        <w:spacing w:before="60" w:after="0"/>
        <w:ind w:left="2410" w:right="-15"/>
        <w:rPr>
          <w:rFonts w:ascii="Cambria" w:hAnsi="Cambria"/>
          <w:i/>
          <w:iCs/>
          <w:color w:val="595959"/>
          <w:sz w:val="22"/>
        </w:rPr>
      </w:pPr>
      <w:r w:rsidRPr="003F58FB">
        <w:rPr>
          <w:rFonts w:ascii="Cambria" w:hAnsi="Cambria"/>
          <w:i/>
          <w:iCs/>
          <w:sz w:val="22"/>
        </w:rPr>
        <w:t xml:space="preserve">Upozornění: </w:t>
      </w:r>
      <w:r w:rsidRPr="003F58FB">
        <w:rPr>
          <w:rFonts w:ascii="Cambria" w:hAnsi="Cambria"/>
          <w:i/>
          <w:iCs/>
          <w:color w:val="595959"/>
          <w:sz w:val="22"/>
        </w:rPr>
        <w:t>Tento postup byl zvolen pouze pro rok 2012.</w:t>
      </w:r>
    </w:p>
    <w:p w:rsidR="00363427" w:rsidRPr="003F58FB" w:rsidRDefault="00363427" w:rsidP="008A393B">
      <w:pPr>
        <w:tabs>
          <w:tab w:val="left" w:pos="6804"/>
        </w:tabs>
        <w:spacing w:before="60" w:after="0"/>
        <w:ind w:left="2410" w:right="-15"/>
        <w:rPr>
          <w:rFonts w:ascii="Cambria" w:hAnsi="Cambria"/>
          <w:i/>
          <w:iCs/>
          <w:color w:val="595959"/>
          <w:sz w:val="22"/>
        </w:rPr>
      </w:pPr>
    </w:p>
    <w:p w:rsidR="00363427" w:rsidRPr="00A72F83" w:rsidRDefault="00363427" w:rsidP="008A393B">
      <w:pPr>
        <w:pStyle w:val="ListParagraph"/>
        <w:numPr>
          <w:ilvl w:val="0"/>
          <w:numId w:val="4"/>
        </w:numPr>
        <w:tabs>
          <w:tab w:val="left" w:pos="6804"/>
        </w:tabs>
        <w:spacing w:after="0"/>
        <w:ind w:left="567" w:right="-15" w:hanging="567"/>
        <w:rPr>
          <w:rFonts w:ascii="Cambria" w:hAnsi="Cambria"/>
          <w:b/>
          <w:iCs/>
          <w:color w:val="595959"/>
        </w:rPr>
      </w:pPr>
      <w:r w:rsidRPr="00A72F83">
        <w:rPr>
          <w:b/>
        </w:rPr>
        <w:t>Dotaz: J</w:t>
      </w:r>
      <w:r>
        <w:rPr>
          <w:b/>
        </w:rPr>
        <w:t>ak byla vypočtena podpora na OH přípravu p</w:t>
      </w:r>
      <w:r w:rsidRPr="00A72F83">
        <w:rPr>
          <w:b/>
        </w:rPr>
        <w:t>ro rok 2012</w:t>
      </w:r>
      <w:r>
        <w:rPr>
          <w:b/>
        </w:rPr>
        <w:t xml:space="preserve"> – Rozvojový program ČOV?</w:t>
      </w:r>
    </w:p>
    <w:p w:rsidR="00363427" w:rsidRPr="003F58FB" w:rsidRDefault="00363427" w:rsidP="008A393B">
      <w:pPr>
        <w:tabs>
          <w:tab w:val="left" w:pos="6804"/>
        </w:tabs>
        <w:spacing w:before="60" w:after="0"/>
        <w:ind w:left="1560" w:right="-15" w:hanging="993"/>
        <w:rPr>
          <w:rFonts w:ascii="Cambria" w:hAnsi="Cambria"/>
          <w:i/>
          <w:iCs/>
          <w:color w:val="0000FA"/>
          <w:sz w:val="22"/>
        </w:rPr>
      </w:pPr>
      <w:r w:rsidRPr="003F58FB">
        <w:rPr>
          <w:rFonts w:ascii="Cambria" w:hAnsi="Cambria"/>
          <w:i/>
          <w:iCs/>
          <w:color w:val="0000FA"/>
          <w:sz w:val="22"/>
        </w:rPr>
        <w:t xml:space="preserve">Odpověď: Pro rok 2012 bylo řešeno obdobně jako u dotazu výše. Jelikož se výpočet odvíjí od úspěšnosti sportovní reprezentace, která byla stanovena průměrem, tak finanční objem pro OH přípravu byl stanoven stejným způsobem - průměrem za období 4 roků – 2008 až 2011.  </w:t>
      </w:r>
    </w:p>
    <w:p w:rsidR="00363427" w:rsidRPr="003F58FB" w:rsidRDefault="00363427" w:rsidP="008A393B">
      <w:pPr>
        <w:tabs>
          <w:tab w:val="left" w:pos="6804"/>
        </w:tabs>
        <w:spacing w:before="60" w:after="0"/>
        <w:ind w:left="1560" w:right="-15"/>
        <w:rPr>
          <w:rFonts w:ascii="Cambria" w:hAnsi="Cambria"/>
          <w:i/>
          <w:iCs/>
          <w:color w:val="595959"/>
          <w:sz w:val="22"/>
        </w:rPr>
      </w:pPr>
      <w:r w:rsidRPr="00860ADC">
        <w:rPr>
          <w:rFonts w:ascii="Cambria" w:hAnsi="Cambria"/>
          <w:i/>
          <w:iCs/>
          <w:sz w:val="22"/>
          <w:u w:val="single"/>
        </w:rPr>
        <w:t>Upozornění:</w:t>
      </w:r>
      <w:r w:rsidRPr="003F58FB">
        <w:rPr>
          <w:rFonts w:ascii="Cambria" w:hAnsi="Cambria"/>
          <w:i/>
          <w:iCs/>
          <w:color w:val="595959"/>
          <w:sz w:val="22"/>
        </w:rPr>
        <w:t>Tento postup byl zvolen pouze pro rok 2012.</w:t>
      </w:r>
    </w:p>
    <w:p w:rsidR="00363427" w:rsidRPr="003F58FB" w:rsidRDefault="00363427" w:rsidP="008A393B">
      <w:pPr>
        <w:tabs>
          <w:tab w:val="left" w:pos="6804"/>
        </w:tabs>
        <w:spacing w:before="60" w:after="0"/>
        <w:ind w:left="1560" w:right="-15"/>
        <w:rPr>
          <w:rFonts w:ascii="Cambria" w:hAnsi="Cambria"/>
          <w:i/>
          <w:iCs/>
          <w:color w:val="595959"/>
          <w:sz w:val="22"/>
        </w:rPr>
      </w:pPr>
    </w:p>
    <w:p w:rsidR="00363427" w:rsidRPr="00A72F83" w:rsidRDefault="00363427" w:rsidP="008A393B">
      <w:pPr>
        <w:pStyle w:val="ListParagraph"/>
        <w:numPr>
          <w:ilvl w:val="0"/>
          <w:numId w:val="4"/>
        </w:numPr>
        <w:tabs>
          <w:tab w:val="left" w:pos="6804"/>
        </w:tabs>
        <w:spacing w:after="0"/>
        <w:ind w:left="567" w:right="-15" w:hanging="567"/>
        <w:rPr>
          <w:rFonts w:ascii="Cambria" w:hAnsi="Cambria"/>
          <w:b/>
          <w:iCs/>
          <w:color w:val="595959"/>
        </w:rPr>
      </w:pPr>
      <w:r w:rsidRPr="00A72F83">
        <w:rPr>
          <w:b/>
        </w:rPr>
        <w:t xml:space="preserve">Dotaz: Je </w:t>
      </w:r>
      <w:r>
        <w:rPr>
          <w:b/>
        </w:rPr>
        <w:t xml:space="preserve">poskytnuta podpora významným sportovním akcím v </w:t>
      </w:r>
      <w:r w:rsidRPr="00A72F83">
        <w:rPr>
          <w:b/>
        </w:rPr>
        <w:t>ro</w:t>
      </w:r>
      <w:r>
        <w:rPr>
          <w:b/>
        </w:rPr>
        <w:t>ce</w:t>
      </w:r>
      <w:r w:rsidRPr="00A72F83">
        <w:rPr>
          <w:b/>
        </w:rPr>
        <w:t xml:space="preserve"> 2012</w:t>
      </w:r>
      <w:r>
        <w:rPr>
          <w:b/>
        </w:rPr>
        <w:t>?</w:t>
      </w:r>
    </w:p>
    <w:p w:rsidR="00363427" w:rsidRPr="003F58FB" w:rsidRDefault="00363427" w:rsidP="008A393B">
      <w:pPr>
        <w:tabs>
          <w:tab w:val="left" w:pos="6804"/>
        </w:tabs>
        <w:spacing w:before="60" w:after="0"/>
        <w:ind w:left="1560" w:right="-15" w:hanging="993"/>
        <w:rPr>
          <w:rFonts w:ascii="Cambria" w:hAnsi="Cambria"/>
          <w:i/>
          <w:iCs/>
          <w:color w:val="0000FA"/>
          <w:sz w:val="22"/>
        </w:rPr>
      </w:pPr>
      <w:r w:rsidRPr="003F58FB">
        <w:rPr>
          <w:rFonts w:ascii="Cambria" w:hAnsi="Cambria"/>
          <w:i/>
          <w:iCs/>
          <w:color w:val="0000FA"/>
          <w:sz w:val="22"/>
        </w:rPr>
        <w:t xml:space="preserve">Odpověď: Pro rok 2012 je opět poskytnuta podpora významným sportovním akcí. Obdobně jako v minulém období jsou však realizovány akce dle možností státního rozpočtu. Z rezervní částky Programu I je pokryta část žádostí na významné akce, které byly schváleny ke dni 19. 4. 2012.  </w:t>
      </w:r>
      <w:r>
        <w:rPr>
          <w:rFonts w:ascii="Cambria" w:hAnsi="Cambria"/>
          <w:i/>
          <w:iCs/>
          <w:color w:val="0000FA"/>
          <w:sz w:val="22"/>
        </w:rPr>
        <w:t>Jedná se o: kanoistiku, tenis, cyklistiku, lyžování, biatlon.</w:t>
      </w:r>
    </w:p>
    <w:p w:rsidR="00363427" w:rsidRPr="003F58FB" w:rsidRDefault="00363427" w:rsidP="008A393B">
      <w:pPr>
        <w:tabs>
          <w:tab w:val="left" w:pos="6804"/>
        </w:tabs>
        <w:spacing w:before="60" w:after="0"/>
        <w:ind w:left="2410" w:right="-15" w:hanging="1843"/>
        <w:rPr>
          <w:rFonts w:ascii="Cambria" w:hAnsi="Cambria"/>
          <w:i/>
          <w:iCs/>
          <w:color w:val="595959"/>
          <w:sz w:val="22"/>
        </w:rPr>
      </w:pPr>
      <w:r w:rsidRPr="00860ADC">
        <w:rPr>
          <w:rFonts w:ascii="Cambria" w:hAnsi="Cambria"/>
          <w:i/>
          <w:iCs/>
          <w:sz w:val="22"/>
          <w:u w:val="single"/>
        </w:rPr>
        <w:t>Důvod:</w:t>
      </w:r>
      <w:r w:rsidRPr="003F58FB">
        <w:rPr>
          <w:rFonts w:ascii="Cambria" w:hAnsi="Cambria"/>
          <w:i/>
          <w:iCs/>
          <w:color w:val="595959"/>
          <w:sz w:val="22"/>
        </w:rPr>
        <w:t xml:space="preserve">Opět omezené možnosti státního rozpočtu.  </w:t>
      </w:r>
    </w:p>
    <w:p w:rsidR="00363427" w:rsidRPr="003F58FB" w:rsidRDefault="00363427" w:rsidP="008A393B">
      <w:pPr>
        <w:tabs>
          <w:tab w:val="left" w:pos="6804"/>
        </w:tabs>
        <w:spacing w:before="60" w:after="0"/>
        <w:ind w:left="2410" w:right="-15"/>
        <w:rPr>
          <w:rFonts w:ascii="Cambria" w:hAnsi="Cambria"/>
          <w:i/>
          <w:iCs/>
          <w:color w:val="595959"/>
          <w:sz w:val="22"/>
        </w:rPr>
      </w:pPr>
      <w:r w:rsidRPr="00860ADC">
        <w:rPr>
          <w:rFonts w:ascii="Cambria" w:hAnsi="Cambria"/>
          <w:i/>
          <w:iCs/>
          <w:sz w:val="22"/>
          <w:u w:val="single"/>
        </w:rPr>
        <w:t>Upozornění:</w:t>
      </w:r>
      <w:r w:rsidRPr="003F58FB">
        <w:rPr>
          <w:rFonts w:ascii="Cambria" w:hAnsi="Cambria"/>
          <w:i/>
          <w:iCs/>
          <w:color w:val="595959"/>
          <w:sz w:val="22"/>
        </w:rPr>
        <w:t>Nepokryté požadavky VA je možné řešit prostřednictvím zvýšené podpory u Programu V – Organizace sportu.</w:t>
      </w:r>
    </w:p>
    <w:p w:rsidR="00363427" w:rsidRDefault="00363427" w:rsidP="00BF1A98">
      <w:pPr>
        <w:spacing w:after="0"/>
        <w:rPr>
          <w:b/>
          <w:sz w:val="28"/>
        </w:rPr>
      </w:pPr>
    </w:p>
    <w:p w:rsidR="00363427" w:rsidRPr="004D4668" w:rsidRDefault="00363427" w:rsidP="00D64366">
      <w:pPr>
        <w:pStyle w:val="ListParagraph"/>
        <w:numPr>
          <w:ilvl w:val="0"/>
          <w:numId w:val="4"/>
        </w:numPr>
        <w:tabs>
          <w:tab w:val="left" w:pos="6804"/>
        </w:tabs>
        <w:spacing w:before="120" w:after="0"/>
        <w:ind w:left="567" w:right="-15" w:hanging="567"/>
        <w:rPr>
          <w:rFonts w:ascii="Cambria" w:hAnsi="Cambria"/>
          <w:iCs/>
          <w:color w:val="595959"/>
          <w:sz w:val="22"/>
        </w:rPr>
      </w:pPr>
      <w:r w:rsidRPr="004D4668">
        <w:rPr>
          <w:b/>
        </w:rPr>
        <w:t>Informace o stavu poskyt</w:t>
      </w:r>
      <w:r>
        <w:rPr>
          <w:b/>
        </w:rPr>
        <w:t>nutých</w:t>
      </w:r>
      <w:r w:rsidRPr="004D4668">
        <w:rPr>
          <w:b/>
        </w:rPr>
        <w:t xml:space="preserve"> státních dotací v P-I: </w:t>
      </w:r>
      <w:r w:rsidRPr="004D4668">
        <w:rPr>
          <w:sz w:val="22"/>
        </w:rPr>
        <w:t>Všechny sportovní svazy obdržely od MŠMT již „</w:t>
      </w:r>
      <w:r w:rsidRPr="004D4668">
        <w:rPr>
          <w:b/>
          <w:sz w:val="22"/>
        </w:rPr>
        <w:t>řádné Rozhodnutí</w:t>
      </w:r>
      <w:r w:rsidRPr="004D4668">
        <w:rPr>
          <w:sz w:val="22"/>
        </w:rPr>
        <w:t>“ k podpisu. Vrácené jsou administrovány. Z 80% jsou v těchto dne finanční prostředky na účtech příjemců. Dosud</w:t>
      </w:r>
      <w:r>
        <w:rPr>
          <w:sz w:val="22"/>
        </w:rPr>
        <w:t xml:space="preserve">se však ke dni 19. 4.  nevrátilo Rozhodnutí od svazů </w:t>
      </w:r>
      <w:r w:rsidRPr="00BF1A98">
        <w:rPr>
          <w:sz w:val="22"/>
          <w:u w:val="single"/>
        </w:rPr>
        <w:t>vodního póla, juda a střelectví</w:t>
      </w:r>
      <w:r>
        <w:rPr>
          <w:sz w:val="22"/>
        </w:rPr>
        <w:t>.</w:t>
      </w:r>
    </w:p>
    <w:p w:rsidR="00363427" w:rsidRDefault="00363427" w:rsidP="008112CA">
      <w:pPr>
        <w:pBdr>
          <w:bottom w:val="single" w:sz="12" w:space="1" w:color="0000FA"/>
        </w:pBdr>
        <w:spacing w:after="0"/>
        <w:rPr>
          <w:b/>
          <w:sz w:val="28"/>
        </w:rPr>
      </w:pPr>
    </w:p>
    <w:p w:rsidR="00363427" w:rsidRDefault="00363427" w:rsidP="00BF1A98">
      <w:pPr>
        <w:spacing w:after="0"/>
        <w:rPr>
          <w:b/>
          <w:sz w:val="28"/>
        </w:rPr>
      </w:pPr>
    </w:p>
    <w:p w:rsidR="00363427" w:rsidRPr="00D065D2" w:rsidRDefault="00363427" w:rsidP="00BF1A98">
      <w:pPr>
        <w:pBdr>
          <w:top w:val="single" w:sz="18" w:space="1" w:color="E36C0A"/>
          <w:left w:val="single" w:sz="18" w:space="4" w:color="E36C0A"/>
          <w:bottom w:val="single" w:sz="18" w:space="8" w:color="E36C0A"/>
          <w:right w:val="single" w:sz="18" w:space="4" w:color="E36C0A"/>
        </w:pBdr>
        <w:spacing w:after="0"/>
        <w:rPr>
          <w:b/>
          <w:sz w:val="12"/>
        </w:rPr>
      </w:pPr>
    </w:p>
    <w:p w:rsidR="00363427" w:rsidRDefault="00363427" w:rsidP="00BF1A98">
      <w:pPr>
        <w:pBdr>
          <w:top w:val="single" w:sz="18" w:space="1" w:color="E36C0A"/>
          <w:left w:val="single" w:sz="18" w:space="4" w:color="E36C0A"/>
          <w:bottom w:val="single" w:sz="18" w:space="8" w:color="E36C0A"/>
          <w:right w:val="single" w:sz="18" w:space="4" w:color="E36C0A"/>
        </w:pBdr>
        <w:spacing w:after="0"/>
        <w:rPr>
          <w:b/>
          <w:sz w:val="28"/>
        </w:rPr>
      </w:pPr>
      <w:r>
        <w:rPr>
          <w:b/>
          <w:sz w:val="28"/>
        </w:rPr>
        <w:t>Program II   -   Sportovně talentovaná mládež</w:t>
      </w:r>
    </w:p>
    <w:p w:rsidR="00363427" w:rsidRDefault="00363427" w:rsidP="00BF1A98">
      <w:pPr>
        <w:spacing w:after="0"/>
        <w:rPr>
          <w:b/>
          <w:sz w:val="28"/>
        </w:rPr>
      </w:pPr>
    </w:p>
    <w:p w:rsidR="00363427" w:rsidRDefault="00363427" w:rsidP="00BF1A98">
      <w:pPr>
        <w:spacing w:after="0"/>
        <w:rPr>
          <w:b/>
          <w:sz w:val="28"/>
        </w:rPr>
      </w:pPr>
    </w:p>
    <w:p w:rsidR="00363427" w:rsidRDefault="00363427" w:rsidP="00147F09">
      <w:pPr>
        <w:spacing w:after="0"/>
        <w:rPr>
          <w:b/>
          <w:sz w:val="28"/>
        </w:rPr>
      </w:pPr>
      <w:r>
        <w:rPr>
          <w:noProof/>
          <w:lang w:eastAsia="cs-CZ"/>
        </w:rPr>
        <w:pict>
          <v:group id="Skupina 16" o:spid="_x0000_s1031" style="position:absolute;left:0;text-align:left;margin-left:471.4pt;margin-top:122.65pt;width:58.3pt;height:61.2pt;rotation:90;z-index:251655680;mso-position-horizontal-relative:page;mso-position-vertical-relative:page" coordorigin="10217,9410" coordsize="1565,590">
            <v:shape id="AutoShape 8" o:spid="_x0000_s1032" type="#_x0000_t55" style="position:absolute;left:11100;top:9410;width:682;height:590;visibility:visible" adj="10330" fillcolor="#c4bc96" stroked="f" strokecolor="white"/>
            <v:shape id="AutoShape 9" o:spid="_x0000_s1033" type="#_x0000_t55" style="position:absolute;left:10659;top:9410;width:682;height:590;visibility:visible" adj="10330" fillcolor="#938953" stroked="f" strokecolor="white"/>
            <v:shape id="AutoShape 10" o:spid="_x0000_s1034" type="#_x0000_t55" style="position:absolute;left:10217;top:9410;width:682;height:590;visibility:visible" adj="10834" fillcolor="#484329" stroked="f" strokecolor="white"/>
            <w10:wrap anchorx="page" anchory="page"/>
          </v:group>
        </w:pict>
      </w:r>
    </w:p>
    <w:p w:rsidR="00363427" w:rsidRDefault="00363427" w:rsidP="00147F09">
      <w:pPr>
        <w:spacing w:after="0"/>
        <w:rPr>
          <w:b/>
          <w:sz w:val="28"/>
        </w:rPr>
      </w:pPr>
    </w:p>
    <w:p w:rsidR="00363427" w:rsidRDefault="00363427" w:rsidP="00147F09">
      <w:pPr>
        <w:spacing w:after="0"/>
        <w:rPr>
          <w:b/>
          <w:sz w:val="28"/>
        </w:rPr>
      </w:pPr>
    </w:p>
    <w:p w:rsidR="00363427" w:rsidRDefault="00363427" w:rsidP="00147F09">
      <w:pPr>
        <w:spacing w:after="0"/>
        <w:rPr>
          <w:b/>
          <w:sz w:val="28"/>
        </w:rPr>
      </w:pPr>
    </w:p>
    <w:p w:rsidR="00363427" w:rsidRPr="00D64366" w:rsidRDefault="00363427" w:rsidP="008112CA">
      <w:pPr>
        <w:pBdr>
          <w:top w:val="single" w:sz="12" w:space="1" w:color="0000FA"/>
        </w:pBdr>
        <w:tabs>
          <w:tab w:val="left" w:pos="6804"/>
        </w:tabs>
        <w:spacing w:after="0"/>
        <w:ind w:right="-15"/>
        <w:rPr>
          <w:rFonts w:ascii="Cambria" w:hAnsi="Cambria"/>
          <w:i/>
          <w:iCs/>
          <w:color w:val="595959"/>
        </w:rPr>
      </w:pPr>
    </w:p>
    <w:p w:rsidR="00363427" w:rsidRPr="00BF1A98" w:rsidRDefault="00363427" w:rsidP="00D64366">
      <w:pPr>
        <w:pStyle w:val="ListParagraph"/>
        <w:numPr>
          <w:ilvl w:val="0"/>
          <w:numId w:val="4"/>
        </w:numPr>
        <w:tabs>
          <w:tab w:val="left" w:pos="6804"/>
        </w:tabs>
        <w:spacing w:after="0"/>
        <w:ind w:left="567" w:right="-15" w:hanging="567"/>
        <w:rPr>
          <w:rFonts w:ascii="Cambria" w:hAnsi="Cambria"/>
          <w:i/>
          <w:iCs/>
          <w:color w:val="595959"/>
        </w:rPr>
      </w:pPr>
      <w:r>
        <w:t xml:space="preserve">Financování programu probíhá podle schváleného přehledu zveřejněného na internetu, viz adresa </w:t>
      </w:r>
      <w:hyperlink r:id="rId11" w:history="1">
        <w:r w:rsidRPr="00C97251">
          <w:rPr>
            <w:rStyle w:val="Hyperlink"/>
          </w:rPr>
          <w:t>www.msmt.cz</w:t>
        </w:r>
      </w:hyperlink>
      <w:r>
        <w:t xml:space="preserve"> – sport – dotace – neinvestiční – Rozdělení dotací sportovní reprezentace.</w:t>
      </w:r>
    </w:p>
    <w:p w:rsidR="00363427" w:rsidRDefault="00363427" w:rsidP="00D64366">
      <w:pPr>
        <w:tabs>
          <w:tab w:val="left" w:pos="6804"/>
        </w:tabs>
        <w:spacing w:before="60" w:after="0"/>
        <w:ind w:left="567" w:right="-15"/>
        <w:rPr>
          <w:rFonts w:ascii="Cambria" w:hAnsi="Cambria"/>
          <w:i/>
          <w:iCs/>
          <w:color w:val="595959"/>
          <w:sz w:val="22"/>
        </w:rPr>
      </w:pPr>
      <w:r w:rsidRPr="00860ADC">
        <w:rPr>
          <w:rFonts w:ascii="Cambria" w:hAnsi="Cambria"/>
          <w:i/>
          <w:iCs/>
          <w:sz w:val="22"/>
          <w:u w:val="single"/>
        </w:rPr>
        <w:t>Upozornění:</w:t>
      </w:r>
      <w:r>
        <w:rPr>
          <w:rFonts w:ascii="Cambria" w:hAnsi="Cambria"/>
          <w:i/>
          <w:iCs/>
          <w:color w:val="595959"/>
          <w:sz w:val="22"/>
        </w:rPr>
        <w:t>Finanční objemy zachovávají stav z roku 2011. Pro rok 2012 nedošlo k žádným změnám.</w:t>
      </w:r>
    </w:p>
    <w:p w:rsidR="00363427" w:rsidRDefault="00363427" w:rsidP="00D64366">
      <w:pPr>
        <w:tabs>
          <w:tab w:val="left" w:pos="6804"/>
        </w:tabs>
        <w:spacing w:after="0"/>
        <w:ind w:left="567" w:right="-15"/>
        <w:rPr>
          <w:rFonts w:ascii="Cambria" w:hAnsi="Cambria"/>
        </w:rPr>
      </w:pPr>
    </w:p>
    <w:p w:rsidR="00363427" w:rsidRPr="005269AF" w:rsidRDefault="00363427" w:rsidP="00D64366">
      <w:pPr>
        <w:pStyle w:val="ListParagraph"/>
        <w:numPr>
          <w:ilvl w:val="0"/>
          <w:numId w:val="4"/>
        </w:numPr>
        <w:tabs>
          <w:tab w:val="left" w:pos="6804"/>
        </w:tabs>
        <w:spacing w:before="120" w:after="0"/>
        <w:ind w:left="567" w:right="-15" w:hanging="567"/>
        <w:rPr>
          <w:rFonts w:ascii="Cambria" w:hAnsi="Cambria"/>
          <w:iCs/>
          <w:color w:val="595959"/>
          <w:szCs w:val="24"/>
        </w:rPr>
      </w:pPr>
      <w:r w:rsidRPr="004D4668">
        <w:rPr>
          <w:b/>
        </w:rPr>
        <w:t>Informace o stavu poskyt</w:t>
      </w:r>
      <w:r>
        <w:rPr>
          <w:b/>
        </w:rPr>
        <w:t>nutých</w:t>
      </w:r>
      <w:r w:rsidRPr="004D4668">
        <w:rPr>
          <w:b/>
        </w:rPr>
        <w:t xml:space="preserve"> státních dotací v P-I</w:t>
      </w:r>
      <w:r>
        <w:rPr>
          <w:b/>
        </w:rPr>
        <w:t>I</w:t>
      </w:r>
      <w:r w:rsidRPr="004D4668">
        <w:rPr>
          <w:b/>
        </w:rPr>
        <w:t xml:space="preserve">: </w:t>
      </w:r>
      <w:r w:rsidRPr="00BF1A98">
        <w:t xml:space="preserve">Obdobně jako u </w:t>
      </w:r>
      <w:r>
        <w:t>P</w:t>
      </w:r>
      <w:r w:rsidRPr="00BF1A98">
        <w:t xml:space="preserve">rogramu I, </w:t>
      </w:r>
      <w:r w:rsidRPr="005269AF">
        <w:rPr>
          <w:szCs w:val="24"/>
        </w:rPr>
        <w:t>všechny sportovní svazy obdržely od MŠMT již „</w:t>
      </w:r>
      <w:r w:rsidRPr="005269AF">
        <w:rPr>
          <w:b/>
          <w:szCs w:val="24"/>
        </w:rPr>
        <w:t>řádné Rozhodnutí</w:t>
      </w:r>
      <w:r w:rsidRPr="005269AF">
        <w:rPr>
          <w:szCs w:val="24"/>
        </w:rPr>
        <w:t xml:space="preserve">“ k podpisu. Vrácené jsou administrovány. Z 80% jsou v těchto dnech finanční prostředky na účtech příjemců. Dosud se však ke dni 19. 4.  nevrátilo Rozhodnutí od svazů </w:t>
      </w:r>
      <w:r w:rsidRPr="005269AF">
        <w:rPr>
          <w:szCs w:val="24"/>
          <w:u w:val="single"/>
        </w:rPr>
        <w:t>vodního póla, juda a střelectví</w:t>
      </w:r>
      <w:r w:rsidRPr="005269AF">
        <w:rPr>
          <w:szCs w:val="24"/>
        </w:rPr>
        <w:t>.</w:t>
      </w:r>
    </w:p>
    <w:p w:rsidR="00363427" w:rsidRDefault="00363427" w:rsidP="005269AF">
      <w:pPr>
        <w:tabs>
          <w:tab w:val="left" w:pos="6804"/>
        </w:tabs>
        <w:spacing w:before="120" w:after="0"/>
        <w:ind w:right="-15"/>
        <w:rPr>
          <w:rFonts w:ascii="Cambria" w:hAnsi="Cambria"/>
          <w:iCs/>
          <w:color w:val="595959"/>
          <w:sz w:val="22"/>
        </w:rPr>
      </w:pPr>
    </w:p>
    <w:p w:rsidR="00363427" w:rsidRPr="005269AF" w:rsidRDefault="00363427" w:rsidP="005269AF">
      <w:pPr>
        <w:pStyle w:val="ListParagraph"/>
        <w:numPr>
          <w:ilvl w:val="0"/>
          <w:numId w:val="4"/>
        </w:numPr>
        <w:tabs>
          <w:tab w:val="left" w:pos="6804"/>
        </w:tabs>
        <w:spacing w:before="120" w:after="0"/>
        <w:ind w:left="567" w:right="-15" w:hanging="567"/>
        <w:rPr>
          <w:iCs/>
        </w:rPr>
      </w:pPr>
      <w:r w:rsidRPr="005269AF">
        <w:rPr>
          <w:iCs/>
        </w:rPr>
        <w:t>Změna</w:t>
      </w:r>
      <w:r>
        <w:rPr>
          <w:iCs/>
        </w:rPr>
        <w:t xml:space="preserve"> limitu čerpání mzdových prostředků, kdy mohou být čerpány až do výše 85 % z celkového objemu. Sportovní činnost není omezena. Stanovený limit je již zapracovaný v „řádném Rozhodnutí“.</w:t>
      </w:r>
    </w:p>
    <w:p w:rsidR="00363427" w:rsidRPr="00BF1A98" w:rsidRDefault="00363427" w:rsidP="008112CA">
      <w:pPr>
        <w:pBdr>
          <w:bottom w:val="single" w:sz="12" w:space="1" w:color="0000FA"/>
        </w:pBdr>
        <w:tabs>
          <w:tab w:val="left" w:pos="6804"/>
        </w:tabs>
        <w:spacing w:before="60" w:after="0"/>
        <w:ind w:right="-15"/>
        <w:rPr>
          <w:rFonts w:ascii="Cambria" w:hAnsi="Cambria"/>
          <w:i/>
          <w:iCs/>
          <w:color w:val="595959"/>
        </w:rPr>
      </w:pPr>
    </w:p>
    <w:p w:rsidR="00363427" w:rsidRDefault="00363427" w:rsidP="00147F09">
      <w:pPr>
        <w:spacing w:after="0"/>
        <w:rPr>
          <w:b/>
          <w:sz w:val="28"/>
        </w:rPr>
      </w:pPr>
    </w:p>
    <w:p w:rsidR="00363427" w:rsidRDefault="00363427" w:rsidP="00147F09">
      <w:pPr>
        <w:spacing w:after="0"/>
        <w:rPr>
          <w:b/>
          <w:sz w:val="28"/>
        </w:rPr>
      </w:pPr>
    </w:p>
    <w:p w:rsidR="00363427" w:rsidRDefault="00363427" w:rsidP="00147F09">
      <w:pPr>
        <w:spacing w:after="0"/>
        <w:rPr>
          <w:b/>
          <w:sz w:val="28"/>
        </w:rPr>
      </w:pPr>
    </w:p>
    <w:p w:rsidR="00363427" w:rsidRDefault="00363427" w:rsidP="00BF1A98">
      <w:pPr>
        <w:spacing w:after="0"/>
        <w:rPr>
          <w:b/>
          <w:sz w:val="28"/>
        </w:rPr>
      </w:pPr>
    </w:p>
    <w:p w:rsidR="00363427" w:rsidRPr="00D065D2" w:rsidRDefault="00363427" w:rsidP="00BF1A98">
      <w:pPr>
        <w:pBdr>
          <w:top w:val="single" w:sz="18" w:space="1" w:color="E36C0A"/>
          <w:left w:val="single" w:sz="18" w:space="4" w:color="E36C0A"/>
          <w:bottom w:val="single" w:sz="18" w:space="8" w:color="E36C0A"/>
          <w:right w:val="single" w:sz="18" w:space="4" w:color="E36C0A"/>
        </w:pBdr>
        <w:spacing w:after="0"/>
        <w:rPr>
          <w:b/>
          <w:sz w:val="12"/>
        </w:rPr>
      </w:pPr>
    </w:p>
    <w:p w:rsidR="00363427" w:rsidRPr="00147F09" w:rsidRDefault="00363427" w:rsidP="00BF1A98">
      <w:pPr>
        <w:pBdr>
          <w:top w:val="single" w:sz="18" w:space="1" w:color="E36C0A"/>
          <w:left w:val="single" w:sz="18" w:space="4" w:color="E36C0A"/>
          <w:bottom w:val="single" w:sz="18" w:space="8" w:color="E36C0A"/>
          <w:right w:val="single" w:sz="18" w:space="4" w:color="E36C0A"/>
        </w:pBdr>
        <w:spacing w:after="0"/>
        <w:rPr>
          <w:b/>
          <w:sz w:val="28"/>
        </w:rPr>
      </w:pPr>
      <w:r>
        <w:rPr>
          <w:b/>
          <w:sz w:val="28"/>
        </w:rPr>
        <w:t>Program III   -   Všeobecná sportovní činnost</w:t>
      </w:r>
    </w:p>
    <w:p w:rsidR="00363427" w:rsidRDefault="00363427" w:rsidP="00147F09">
      <w:pPr>
        <w:spacing w:after="0"/>
        <w:rPr>
          <w:b/>
          <w:sz w:val="28"/>
        </w:rPr>
      </w:pPr>
      <w:r>
        <w:rPr>
          <w:noProof/>
          <w:lang w:eastAsia="cs-CZ"/>
        </w:rPr>
        <w:pict>
          <v:group id="Skupina 21" o:spid="_x0000_s1035" style="position:absolute;left:0;text-align:left;margin-left:468.15pt;margin-top:575.8pt;width:58.3pt;height:61.2pt;rotation:90;z-index:251657728;mso-position-horizontal-relative:page;mso-position-vertical-relative:page" coordorigin="10217,9410" coordsize="1565,590">
            <v:shape id="AutoShape 8" o:spid="_x0000_s1036" type="#_x0000_t55" style="position:absolute;left:11100;top:9410;width:682;height:590;visibility:visible" adj="10330" fillcolor="#c4bc96" stroked="f" strokecolor="white"/>
            <v:shape id="AutoShape 9" o:spid="_x0000_s1037" type="#_x0000_t55" style="position:absolute;left:10659;top:9410;width:682;height:590;visibility:visible" adj="10330" fillcolor="#938953" stroked="f" strokecolor="white"/>
            <v:shape id="AutoShape 10" o:spid="_x0000_s1038" type="#_x0000_t55" style="position:absolute;left:10217;top:9410;width:682;height:590;visibility:visible" adj="10834" fillcolor="#484329" stroked="f" strokecolor="white"/>
            <w10:wrap anchorx="page" anchory="page"/>
          </v:group>
        </w:pict>
      </w:r>
    </w:p>
    <w:p w:rsidR="00363427" w:rsidRDefault="00363427" w:rsidP="00147F09">
      <w:pPr>
        <w:spacing w:after="0"/>
        <w:rPr>
          <w:b/>
          <w:sz w:val="28"/>
        </w:rPr>
      </w:pPr>
    </w:p>
    <w:p w:rsidR="00363427" w:rsidRDefault="00363427" w:rsidP="00147F09">
      <w:pPr>
        <w:spacing w:after="0"/>
        <w:rPr>
          <w:b/>
          <w:sz w:val="28"/>
        </w:rPr>
      </w:pPr>
    </w:p>
    <w:p w:rsidR="00363427" w:rsidRDefault="00363427" w:rsidP="00147F09">
      <w:pPr>
        <w:spacing w:after="0"/>
        <w:rPr>
          <w:b/>
          <w:sz w:val="28"/>
        </w:rPr>
      </w:pPr>
    </w:p>
    <w:p w:rsidR="00363427" w:rsidRDefault="00363427" w:rsidP="00147F09">
      <w:pPr>
        <w:spacing w:after="0"/>
        <w:rPr>
          <w:b/>
          <w:sz w:val="28"/>
        </w:rPr>
      </w:pPr>
    </w:p>
    <w:p w:rsidR="00363427" w:rsidRDefault="00363427" w:rsidP="008112CA">
      <w:pPr>
        <w:pBdr>
          <w:top w:val="single" w:sz="12" w:space="1" w:color="0000FA"/>
        </w:pBdr>
        <w:spacing w:after="0"/>
        <w:rPr>
          <w:b/>
          <w:sz w:val="28"/>
        </w:rPr>
      </w:pPr>
    </w:p>
    <w:p w:rsidR="00363427" w:rsidRPr="00637EAA" w:rsidRDefault="00363427" w:rsidP="00D64366">
      <w:pPr>
        <w:pStyle w:val="ListParagraph"/>
        <w:numPr>
          <w:ilvl w:val="0"/>
          <w:numId w:val="4"/>
        </w:numPr>
        <w:tabs>
          <w:tab w:val="left" w:pos="6804"/>
        </w:tabs>
        <w:spacing w:after="0"/>
        <w:ind w:left="567" w:right="-15" w:hanging="567"/>
        <w:rPr>
          <w:rFonts w:ascii="Cambria" w:hAnsi="Cambria"/>
          <w:i/>
          <w:iCs/>
          <w:color w:val="595959"/>
        </w:rPr>
      </w:pPr>
      <w:r>
        <w:t>Financování programu probíhá podle schváleného rozdělení dotací zveřejněného na internetu, viz adresa výše.</w:t>
      </w:r>
    </w:p>
    <w:p w:rsidR="00363427" w:rsidRPr="00637EAA" w:rsidRDefault="00363427" w:rsidP="00D64366">
      <w:pPr>
        <w:tabs>
          <w:tab w:val="left" w:pos="6804"/>
        </w:tabs>
        <w:spacing w:after="0"/>
        <w:ind w:right="-15"/>
        <w:rPr>
          <w:rFonts w:ascii="Cambria" w:hAnsi="Cambria"/>
          <w:i/>
          <w:iCs/>
          <w:color w:val="595959"/>
        </w:rPr>
      </w:pPr>
    </w:p>
    <w:p w:rsidR="00363427" w:rsidRPr="00A660E2" w:rsidRDefault="00363427" w:rsidP="00D64366">
      <w:pPr>
        <w:pStyle w:val="ListParagraph"/>
        <w:numPr>
          <w:ilvl w:val="0"/>
          <w:numId w:val="4"/>
        </w:numPr>
        <w:tabs>
          <w:tab w:val="left" w:pos="6804"/>
        </w:tabs>
        <w:spacing w:after="0"/>
        <w:ind w:left="567" w:right="-15" w:hanging="567"/>
        <w:rPr>
          <w:rFonts w:ascii="Cambria" w:hAnsi="Cambria"/>
          <w:iCs/>
        </w:rPr>
      </w:pPr>
      <w:r w:rsidRPr="00A660E2">
        <w:rPr>
          <w:rFonts w:ascii="Cambria" w:hAnsi="Cambria"/>
          <w:iCs/>
        </w:rPr>
        <w:t>Podpora je orientována hlavně na podporu organ</w:t>
      </w:r>
      <w:r>
        <w:rPr>
          <w:rFonts w:ascii="Cambria" w:hAnsi="Cambria"/>
          <w:iCs/>
        </w:rPr>
        <w:t>i</w:t>
      </w:r>
      <w:r w:rsidRPr="00A660E2">
        <w:rPr>
          <w:rFonts w:ascii="Cambria" w:hAnsi="Cambria"/>
          <w:iCs/>
        </w:rPr>
        <w:t xml:space="preserve">zací, které zabezpečují všeobecnou činnost (sport pro všechny). </w:t>
      </w:r>
      <w:r>
        <w:rPr>
          <w:rFonts w:ascii="Cambria" w:hAnsi="Cambria"/>
          <w:iCs/>
        </w:rPr>
        <w:t xml:space="preserve"> Z minulých let byla zachována podpora kampaně „Sportuj s námi“ organizována prostřednictvím sportovních svazů.</w:t>
      </w:r>
    </w:p>
    <w:p w:rsidR="00363427" w:rsidRDefault="00363427" w:rsidP="008112CA">
      <w:pPr>
        <w:pBdr>
          <w:bottom w:val="single" w:sz="12" w:space="1" w:color="0000FA"/>
        </w:pBdr>
        <w:tabs>
          <w:tab w:val="left" w:pos="6804"/>
        </w:tabs>
        <w:spacing w:before="60" w:after="0"/>
        <w:ind w:right="-15"/>
      </w:pPr>
    </w:p>
    <w:p w:rsidR="00363427" w:rsidRDefault="00363427" w:rsidP="00147F09">
      <w:pPr>
        <w:spacing w:after="0"/>
        <w:rPr>
          <w:b/>
          <w:sz w:val="28"/>
        </w:rPr>
      </w:pPr>
    </w:p>
    <w:p w:rsidR="00363427" w:rsidRPr="00D065D2" w:rsidRDefault="00363427" w:rsidP="005F6B00">
      <w:pPr>
        <w:pBdr>
          <w:top w:val="single" w:sz="18" w:space="1" w:color="E36C0A"/>
          <w:left w:val="single" w:sz="18" w:space="4" w:color="E36C0A"/>
          <w:bottom w:val="single" w:sz="18" w:space="8" w:color="E36C0A"/>
          <w:right w:val="single" w:sz="18" w:space="4" w:color="E36C0A"/>
        </w:pBdr>
        <w:spacing w:after="0"/>
        <w:rPr>
          <w:b/>
          <w:sz w:val="12"/>
        </w:rPr>
      </w:pPr>
    </w:p>
    <w:p w:rsidR="00363427" w:rsidRPr="00147F09" w:rsidRDefault="00363427" w:rsidP="005F6B00">
      <w:pPr>
        <w:pBdr>
          <w:top w:val="single" w:sz="18" w:space="1" w:color="E36C0A"/>
          <w:left w:val="single" w:sz="18" w:space="4" w:color="E36C0A"/>
          <w:bottom w:val="single" w:sz="18" w:space="8" w:color="E36C0A"/>
          <w:right w:val="single" w:sz="18" w:space="4" w:color="E36C0A"/>
        </w:pBdr>
        <w:spacing w:after="0"/>
        <w:rPr>
          <w:b/>
          <w:sz w:val="28"/>
        </w:rPr>
      </w:pPr>
      <w:r>
        <w:rPr>
          <w:b/>
          <w:sz w:val="28"/>
        </w:rPr>
        <w:t>Program IV   -   Údržba a provoz sportovních zařízení</w:t>
      </w:r>
    </w:p>
    <w:p w:rsidR="00363427" w:rsidRDefault="00363427" w:rsidP="00147F09">
      <w:pPr>
        <w:spacing w:after="0"/>
        <w:rPr>
          <w:b/>
          <w:sz w:val="28"/>
        </w:rPr>
      </w:pPr>
    </w:p>
    <w:p w:rsidR="00363427" w:rsidRDefault="00363427" w:rsidP="00147F09">
      <w:pPr>
        <w:spacing w:after="0"/>
        <w:rPr>
          <w:b/>
          <w:sz w:val="28"/>
        </w:rPr>
      </w:pPr>
    </w:p>
    <w:p w:rsidR="00363427" w:rsidRDefault="00363427" w:rsidP="00147F09">
      <w:pPr>
        <w:spacing w:after="0"/>
        <w:rPr>
          <w:b/>
          <w:sz w:val="28"/>
        </w:rPr>
      </w:pPr>
      <w:r>
        <w:rPr>
          <w:noProof/>
          <w:lang w:eastAsia="cs-CZ"/>
        </w:rPr>
        <w:pict>
          <v:group id="Skupina 1" o:spid="_x0000_s1039" style="position:absolute;left:0;text-align:left;margin-left:469.65pt;margin-top:128.6pt;width:58.3pt;height:61.2pt;rotation:90;z-index:251658752;mso-position-horizontal-relative:page;mso-position-vertical-relative:page" coordorigin="10217,9410" coordsize="1565,590">
            <v:shape id="AutoShape 8" o:spid="_x0000_s1040" type="#_x0000_t55" style="position:absolute;left:11100;top:9410;width:682;height:590;visibility:visible" adj="10330" fillcolor="#c4bc96" stroked="f" strokecolor="white"/>
            <v:shape id="AutoShape 9" o:spid="_x0000_s1041" type="#_x0000_t55" style="position:absolute;left:10659;top:9410;width:682;height:590;visibility:visible" adj="10330" fillcolor="#938953" stroked="f" strokecolor="white"/>
            <v:shape id="AutoShape 10" o:spid="_x0000_s1042" type="#_x0000_t55" style="position:absolute;left:10217;top:9410;width:682;height:590;visibility:visible" adj="10834" fillcolor="#484329" stroked="f" strokecolor="white"/>
            <w10:wrap anchorx="page" anchory="page"/>
          </v:group>
        </w:pict>
      </w:r>
    </w:p>
    <w:p w:rsidR="00363427" w:rsidRDefault="00363427" w:rsidP="00147F09">
      <w:pPr>
        <w:spacing w:after="0"/>
        <w:rPr>
          <w:b/>
          <w:sz w:val="28"/>
        </w:rPr>
      </w:pPr>
    </w:p>
    <w:p w:rsidR="00363427" w:rsidRDefault="00363427" w:rsidP="00147F09">
      <w:pPr>
        <w:spacing w:after="0"/>
        <w:rPr>
          <w:b/>
          <w:sz w:val="28"/>
        </w:rPr>
      </w:pPr>
    </w:p>
    <w:p w:rsidR="00363427" w:rsidRDefault="00363427" w:rsidP="00147F09">
      <w:pPr>
        <w:spacing w:after="0"/>
        <w:rPr>
          <w:b/>
          <w:sz w:val="28"/>
        </w:rPr>
      </w:pPr>
    </w:p>
    <w:p w:rsidR="00363427" w:rsidRPr="00C15108" w:rsidRDefault="00363427" w:rsidP="008112CA">
      <w:pPr>
        <w:pBdr>
          <w:top w:val="single" w:sz="12" w:space="1" w:color="0000FA"/>
        </w:pBdr>
        <w:tabs>
          <w:tab w:val="left" w:pos="6804"/>
        </w:tabs>
        <w:spacing w:before="240" w:after="0"/>
        <w:ind w:right="-15"/>
        <w:rPr>
          <w:rFonts w:ascii="Cambria" w:hAnsi="Cambria"/>
          <w:i/>
          <w:iCs/>
          <w:color w:val="595959"/>
        </w:rPr>
      </w:pPr>
    </w:p>
    <w:p w:rsidR="00363427" w:rsidRPr="0070045C" w:rsidRDefault="00363427" w:rsidP="00C15108">
      <w:pPr>
        <w:pStyle w:val="ListParagraph"/>
        <w:numPr>
          <w:ilvl w:val="0"/>
          <w:numId w:val="4"/>
        </w:numPr>
        <w:tabs>
          <w:tab w:val="left" w:pos="6804"/>
        </w:tabs>
        <w:spacing w:after="0"/>
        <w:ind w:left="567" w:right="-15" w:hanging="567"/>
        <w:rPr>
          <w:rFonts w:ascii="Cambria" w:hAnsi="Cambria"/>
          <w:i/>
          <w:iCs/>
          <w:color w:val="595959"/>
        </w:rPr>
      </w:pPr>
      <w:r>
        <w:t xml:space="preserve">Změny u Programu IV pro rok 2012 jsou stanoveny vyhlášením Státní podpory sportu a metodikou – Zásady Programu IV, zveřejněno na adrese: </w:t>
      </w:r>
      <w:hyperlink r:id="rId12" w:history="1">
        <w:r w:rsidRPr="00DB3D4C">
          <w:rPr>
            <w:rStyle w:val="Hyperlink"/>
          </w:rPr>
          <w:t>www.msmt.cz</w:t>
        </w:r>
      </w:hyperlink>
      <w:r>
        <w:t>.</w:t>
      </w:r>
    </w:p>
    <w:p w:rsidR="00363427" w:rsidRDefault="00363427" w:rsidP="00C15108">
      <w:pPr>
        <w:tabs>
          <w:tab w:val="left" w:pos="6804"/>
        </w:tabs>
        <w:spacing w:after="0"/>
        <w:ind w:right="-15"/>
      </w:pPr>
    </w:p>
    <w:p w:rsidR="00363427" w:rsidRPr="00DB15F0" w:rsidRDefault="00363427" w:rsidP="00C15108">
      <w:pPr>
        <w:pStyle w:val="ListParagraph"/>
        <w:numPr>
          <w:ilvl w:val="0"/>
          <w:numId w:val="4"/>
        </w:numPr>
        <w:tabs>
          <w:tab w:val="left" w:pos="6804"/>
        </w:tabs>
        <w:spacing w:after="0"/>
        <w:ind w:left="567" w:right="-15" w:hanging="567"/>
        <w:rPr>
          <w:rFonts w:ascii="Cambria" w:hAnsi="Cambria"/>
          <w:i/>
          <w:iCs/>
        </w:rPr>
      </w:pPr>
      <w:r w:rsidRPr="00092C46">
        <w:rPr>
          <w:rFonts w:ascii="Cambria" w:hAnsi="Cambria"/>
          <w:iCs/>
        </w:rPr>
        <w:t>Zásadní</w:t>
      </w:r>
      <w:r>
        <w:rPr>
          <w:rFonts w:ascii="Cambria" w:hAnsi="Cambria"/>
          <w:iCs/>
        </w:rPr>
        <w:t xml:space="preserve"> změny:</w:t>
      </w:r>
    </w:p>
    <w:p w:rsidR="00363427" w:rsidRDefault="00363427" w:rsidP="00C15108">
      <w:pPr>
        <w:pStyle w:val="ListParagraph"/>
        <w:ind w:left="567"/>
        <w:rPr>
          <w:rFonts w:ascii="Cambria" w:hAnsi="Cambria"/>
          <w:iCs/>
        </w:rPr>
      </w:pPr>
      <w:r>
        <w:rPr>
          <w:rFonts w:ascii="Cambria" w:hAnsi="Cambria"/>
          <w:iCs/>
        </w:rPr>
        <w:t>1.  Podávání žádostí pouze prostřednictvím národních sportovních svazů.</w:t>
      </w:r>
    </w:p>
    <w:p w:rsidR="00363427" w:rsidRDefault="00363427" w:rsidP="00C15108">
      <w:pPr>
        <w:pStyle w:val="ListParagraph"/>
        <w:ind w:left="567"/>
        <w:rPr>
          <w:rFonts w:ascii="Cambria" w:hAnsi="Cambria"/>
          <w:iCs/>
        </w:rPr>
      </w:pPr>
      <w:r>
        <w:rPr>
          <w:rFonts w:ascii="Cambria" w:hAnsi="Cambria"/>
          <w:iCs/>
        </w:rPr>
        <w:t>2.  Nová podmínka u žádosti – elektronický přehled konečných příjemců.</w:t>
      </w:r>
    </w:p>
    <w:p w:rsidR="00363427" w:rsidRDefault="00363427" w:rsidP="00C15108">
      <w:pPr>
        <w:pStyle w:val="ListParagraph"/>
        <w:ind w:left="851" w:hanging="284"/>
        <w:rPr>
          <w:rFonts w:ascii="Cambria" w:hAnsi="Cambria"/>
          <w:iCs/>
        </w:rPr>
      </w:pPr>
      <w:r>
        <w:rPr>
          <w:rFonts w:ascii="Cambria" w:hAnsi="Cambria"/>
          <w:iCs/>
        </w:rPr>
        <w:t xml:space="preserve">3. Konečný příjemce do žádosti musel uvést údaje o hodnotě majetku, členské základně (mládež – senioři), o celkovém finančním objemu projektu, a z toho požadavek na státní podporu. </w:t>
      </w:r>
    </w:p>
    <w:p w:rsidR="00363427" w:rsidRPr="00DB15F0" w:rsidRDefault="00363427" w:rsidP="00C15108">
      <w:pPr>
        <w:pStyle w:val="ListParagraph"/>
        <w:ind w:left="851" w:hanging="284"/>
        <w:rPr>
          <w:rFonts w:ascii="Cambria" w:hAnsi="Cambria"/>
          <w:iCs/>
        </w:rPr>
      </w:pPr>
      <w:r>
        <w:rPr>
          <w:rFonts w:ascii="Cambria" w:hAnsi="Cambria"/>
          <w:iCs/>
        </w:rPr>
        <w:t>4. Předkládané požadavky konečných příjemců (TJ/SK) byly výběrovou komisí omezeny na maximální výši 4.000 tis. Kč, která byla akceptována pro výpočet.</w:t>
      </w:r>
    </w:p>
    <w:p w:rsidR="00363427" w:rsidRDefault="00363427" w:rsidP="00C15108">
      <w:pPr>
        <w:tabs>
          <w:tab w:val="left" w:pos="6804"/>
        </w:tabs>
        <w:spacing w:after="0"/>
        <w:ind w:right="-15"/>
        <w:rPr>
          <w:rFonts w:ascii="Cambria" w:hAnsi="Cambria"/>
          <w:iCs/>
        </w:rPr>
      </w:pPr>
    </w:p>
    <w:p w:rsidR="00363427" w:rsidRPr="00445BE5" w:rsidRDefault="00363427" w:rsidP="00C15108">
      <w:pPr>
        <w:pStyle w:val="ListParagraph"/>
        <w:numPr>
          <w:ilvl w:val="0"/>
          <w:numId w:val="7"/>
        </w:numPr>
        <w:tabs>
          <w:tab w:val="left" w:pos="6804"/>
        </w:tabs>
        <w:spacing w:after="0"/>
        <w:ind w:left="567" w:right="-15" w:hanging="567"/>
        <w:rPr>
          <w:rFonts w:ascii="Cambria" w:hAnsi="Cambria"/>
          <w:i/>
          <w:iCs/>
        </w:rPr>
      </w:pPr>
      <w:r w:rsidRPr="00445BE5">
        <w:rPr>
          <w:rFonts w:ascii="Cambria" w:hAnsi="Cambria"/>
          <w:iCs/>
        </w:rPr>
        <w:t>Nedostatky, které byly výběrovou komisí podchyceny, a které měly vliv na snížení předloženého finančního objemu, případně vyřazení konečných příjemců, resp. vyřazení celkové žádosti sportovního svazu</w:t>
      </w:r>
      <w:r>
        <w:rPr>
          <w:rFonts w:ascii="Cambria" w:hAnsi="Cambria"/>
          <w:iCs/>
        </w:rPr>
        <w:t>,</w:t>
      </w:r>
      <w:r w:rsidRPr="00445BE5">
        <w:rPr>
          <w:rFonts w:ascii="Cambria" w:hAnsi="Cambria"/>
          <w:iCs/>
        </w:rPr>
        <w:t xml:space="preserve"> jsou uvedeny níže s příslušným vysvětlením.</w:t>
      </w:r>
    </w:p>
    <w:p w:rsidR="00363427" w:rsidRDefault="00363427" w:rsidP="008112CA">
      <w:pPr>
        <w:pBdr>
          <w:bottom w:val="single" w:sz="12" w:space="1" w:color="0000FA"/>
        </w:pBdr>
        <w:spacing w:after="0"/>
        <w:rPr>
          <w:b/>
          <w:sz w:val="28"/>
        </w:rPr>
      </w:pPr>
    </w:p>
    <w:p w:rsidR="00363427" w:rsidRDefault="00363427" w:rsidP="00147F09">
      <w:pPr>
        <w:spacing w:after="0"/>
        <w:rPr>
          <w:b/>
          <w:sz w:val="28"/>
        </w:rPr>
      </w:pPr>
    </w:p>
    <w:p w:rsidR="00363427" w:rsidRDefault="00363427" w:rsidP="00147F09">
      <w:pPr>
        <w:spacing w:after="0"/>
        <w:rPr>
          <w:b/>
          <w:sz w:val="28"/>
        </w:rPr>
      </w:pPr>
    </w:p>
    <w:p w:rsidR="00363427" w:rsidRDefault="00363427" w:rsidP="00147F09">
      <w:pPr>
        <w:spacing w:after="0"/>
        <w:rPr>
          <w:b/>
          <w:sz w:val="28"/>
        </w:rPr>
      </w:pPr>
    </w:p>
    <w:p w:rsidR="00363427" w:rsidRPr="00445BE5" w:rsidRDefault="00363427" w:rsidP="00147F09">
      <w:pPr>
        <w:spacing w:after="0"/>
        <w:rPr>
          <w:b/>
          <w:color w:val="EEECE1"/>
          <w:sz w:val="28"/>
        </w:rPr>
      </w:pPr>
      <w:r w:rsidRPr="00445BE5">
        <w:rPr>
          <w:b/>
          <w:color w:val="EEECE1"/>
          <w:sz w:val="28"/>
        </w:rPr>
        <w:t>Program IV – nedostatk</w:t>
      </w:r>
      <w:r>
        <w:rPr>
          <w:b/>
          <w:color w:val="EEECE1"/>
          <w:sz w:val="28"/>
        </w:rPr>
        <w:t>y</w:t>
      </w:r>
      <w:r w:rsidRPr="00445BE5">
        <w:rPr>
          <w:b/>
          <w:color w:val="EEECE1"/>
          <w:sz w:val="28"/>
        </w:rPr>
        <w:t>:</w:t>
      </w:r>
    </w:p>
    <w:p w:rsidR="00363427" w:rsidRDefault="00363427" w:rsidP="00147F09">
      <w:pPr>
        <w:spacing w:after="0"/>
        <w:rPr>
          <w:b/>
          <w:sz w:val="28"/>
        </w:rPr>
      </w:pPr>
    </w:p>
    <w:p w:rsidR="00363427" w:rsidRDefault="00363427" w:rsidP="00FD7898">
      <w:pPr>
        <w:spacing w:after="0"/>
        <w:rPr>
          <w:i/>
          <w:szCs w:val="24"/>
        </w:rPr>
        <w:sectPr w:rsidR="00363427" w:rsidSect="00A353C4">
          <w:type w:val="continuous"/>
          <w:pgSz w:w="11906" w:h="16838"/>
          <w:pgMar w:top="962" w:right="1417" w:bottom="1417" w:left="1417" w:header="284" w:footer="708" w:gutter="0"/>
          <w:cols w:space="708"/>
          <w:docGrid w:linePitch="360"/>
        </w:sectPr>
      </w:pPr>
    </w:p>
    <w:p w:rsidR="00363427" w:rsidRPr="00205EFB" w:rsidRDefault="00363427" w:rsidP="00FD7898">
      <w:pPr>
        <w:pStyle w:val="ListParagraph"/>
        <w:numPr>
          <w:ilvl w:val="0"/>
          <w:numId w:val="8"/>
        </w:numPr>
        <w:spacing w:after="0"/>
        <w:ind w:left="284" w:hanging="284"/>
        <w:rPr>
          <w:sz w:val="22"/>
          <w:szCs w:val="24"/>
        </w:rPr>
      </w:pPr>
      <w:r w:rsidRPr="00205EFB">
        <w:rPr>
          <w:sz w:val="22"/>
          <w:szCs w:val="24"/>
          <w:u w:val="single"/>
        </w:rPr>
        <w:t xml:space="preserve">Nesplnění spoluúčasti ve výši 30%. </w:t>
      </w:r>
      <w:r w:rsidRPr="00205EFB">
        <w:rPr>
          <w:i/>
          <w:sz w:val="22"/>
          <w:szCs w:val="24"/>
        </w:rPr>
        <w:t xml:space="preserve">Vysvětlení: </w:t>
      </w:r>
    </w:p>
    <w:p w:rsidR="00363427" w:rsidRPr="00205EFB" w:rsidRDefault="00363427" w:rsidP="005A6873">
      <w:pPr>
        <w:spacing w:before="60" w:after="0"/>
        <w:ind w:left="284"/>
        <w:rPr>
          <w:i/>
          <w:sz w:val="22"/>
          <w:szCs w:val="24"/>
        </w:rPr>
      </w:pPr>
      <w:r w:rsidRPr="00205EFB">
        <w:rPr>
          <w:i/>
          <w:sz w:val="22"/>
          <w:szCs w:val="24"/>
        </w:rPr>
        <w:t>podíl 70% x 30% byl striktně posuzován. Nedodržení = vyřazení.</w:t>
      </w:r>
    </w:p>
    <w:p w:rsidR="00363427" w:rsidRPr="00205EFB" w:rsidRDefault="00363427" w:rsidP="00680A9C">
      <w:pPr>
        <w:spacing w:after="0"/>
        <w:ind w:left="284"/>
        <w:rPr>
          <w:sz w:val="20"/>
          <w:szCs w:val="24"/>
        </w:rPr>
      </w:pPr>
    </w:p>
    <w:p w:rsidR="00363427" w:rsidRPr="00205EFB" w:rsidRDefault="00363427" w:rsidP="00D64366">
      <w:pPr>
        <w:pStyle w:val="ListParagraph"/>
        <w:numPr>
          <w:ilvl w:val="0"/>
          <w:numId w:val="8"/>
        </w:numPr>
        <w:spacing w:after="0"/>
        <w:ind w:left="284" w:hanging="284"/>
        <w:rPr>
          <w:sz w:val="22"/>
          <w:szCs w:val="24"/>
        </w:rPr>
      </w:pPr>
      <w:r w:rsidRPr="00205EFB">
        <w:rPr>
          <w:sz w:val="22"/>
          <w:szCs w:val="24"/>
          <w:u w:val="single"/>
        </w:rPr>
        <w:t xml:space="preserve">Nesplnění požadavku ve výši 60%. </w:t>
      </w:r>
      <w:r w:rsidRPr="00205EFB">
        <w:rPr>
          <w:i/>
          <w:sz w:val="22"/>
          <w:szCs w:val="24"/>
        </w:rPr>
        <w:t xml:space="preserve">Vysvětlení: </w:t>
      </w:r>
    </w:p>
    <w:p w:rsidR="00363427" w:rsidRPr="00205EFB" w:rsidRDefault="00363427" w:rsidP="00D64366">
      <w:pPr>
        <w:spacing w:before="60" w:after="0"/>
        <w:ind w:left="284"/>
        <w:rPr>
          <w:i/>
          <w:sz w:val="22"/>
          <w:szCs w:val="24"/>
        </w:rPr>
      </w:pPr>
      <w:r w:rsidRPr="00205EFB">
        <w:rPr>
          <w:i/>
          <w:sz w:val="22"/>
          <w:szCs w:val="24"/>
        </w:rPr>
        <w:t>žádost pouze do výše 60% doložené celkové hodnoty majetku. Nedodržení = vyřazení.</w:t>
      </w:r>
    </w:p>
    <w:p w:rsidR="00363427" w:rsidRPr="00205EFB" w:rsidRDefault="00363427" w:rsidP="00680A9C">
      <w:pPr>
        <w:spacing w:after="0"/>
        <w:ind w:left="284"/>
        <w:rPr>
          <w:sz w:val="20"/>
          <w:szCs w:val="24"/>
        </w:rPr>
      </w:pPr>
    </w:p>
    <w:p w:rsidR="00363427" w:rsidRPr="002F102F" w:rsidRDefault="00363427" w:rsidP="00664A12">
      <w:pPr>
        <w:pStyle w:val="ListParagraph"/>
        <w:numPr>
          <w:ilvl w:val="0"/>
          <w:numId w:val="8"/>
        </w:numPr>
        <w:spacing w:before="120" w:after="0"/>
        <w:ind w:left="284" w:hanging="284"/>
        <w:rPr>
          <w:sz w:val="22"/>
          <w:szCs w:val="24"/>
          <w:u w:val="single"/>
        </w:rPr>
      </w:pPr>
      <w:r w:rsidRPr="002F102F">
        <w:rPr>
          <w:sz w:val="22"/>
          <w:szCs w:val="24"/>
          <w:u w:val="single"/>
        </w:rPr>
        <w:t>Neuvedení vyžadovaných údajů.</w:t>
      </w:r>
    </w:p>
    <w:p w:rsidR="00363427" w:rsidRPr="00205EFB" w:rsidRDefault="00363427" w:rsidP="00680A9C">
      <w:pPr>
        <w:spacing w:after="0"/>
        <w:ind w:left="284"/>
        <w:rPr>
          <w:i/>
          <w:sz w:val="22"/>
          <w:szCs w:val="24"/>
        </w:rPr>
      </w:pPr>
      <w:r w:rsidRPr="00205EFB">
        <w:rPr>
          <w:i/>
          <w:sz w:val="22"/>
          <w:szCs w:val="24"/>
        </w:rPr>
        <w:t xml:space="preserve">Vysvětlení: </w:t>
      </w:r>
    </w:p>
    <w:p w:rsidR="00363427" w:rsidRPr="00205EFB" w:rsidRDefault="00363427" w:rsidP="005A6873">
      <w:pPr>
        <w:spacing w:before="60" w:after="0"/>
        <w:ind w:left="284"/>
        <w:rPr>
          <w:i/>
          <w:sz w:val="22"/>
          <w:szCs w:val="24"/>
        </w:rPr>
      </w:pPr>
      <w:r w:rsidRPr="00205EFB">
        <w:rPr>
          <w:i/>
          <w:sz w:val="22"/>
          <w:szCs w:val="24"/>
        </w:rPr>
        <w:t>-Hodnota majetku s 0 hodnotou = vyřazení.</w:t>
      </w:r>
    </w:p>
    <w:p w:rsidR="00363427" w:rsidRPr="00205EFB" w:rsidRDefault="00363427" w:rsidP="005A6873">
      <w:pPr>
        <w:spacing w:before="60" w:after="0"/>
        <w:ind w:left="284"/>
        <w:rPr>
          <w:i/>
          <w:sz w:val="22"/>
          <w:szCs w:val="24"/>
        </w:rPr>
      </w:pPr>
      <w:r w:rsidRPr="00205EFB">
        <w:rPr>
          <w:i/>
          <w:sz w:val="22"/>
          <w:szCs w:val="24"/>
        </w:rPr>
        <w:t>-Komise některým žadatelů</w:t>
      </w:r>
      <w:r>
        <w:rPr>
          <w:i/>
          <w:sz w:val="22"/>
          <w:szCs w:val="24"/>
        </w:rPr>
        <w:t>m</w:t>
      </w:r>
      <w:r w:rsidRPr="00205EFB">
        <w:rPr>
          <w:i/>
          <w:sz w:val="22"/>
          <w:szCs w:val="24"/>
        </w:rPr>
        <w:t>sdělila požadavek o doplnění a upřesnění</w:t>
      </w:r>
      <w:r>
        <w:rPr>
          <w:i/>
          <w:sz w:val="22"/>
          <w:szCs w:val="24"/>
        </w:rPr>
        <w:t xml:space="preserve">účetní </w:t>
      </w:r>
      <w:r w:rsidRPr="00205EFB">
        <w:rPr>
          <w:i/>
          <w:sz w:val="22"/>
          <w:szCs w:val="24"/>
        </w:rPr>
        <w:t>hodnoty</w:t>
      </w:r>
      <w:r>
        <w:rPr>
          <w:i/>
          <w:sz w:val="22"/>
          <w:szCs w:val="24"/>
        </w:rPr>
        <w:t xml:space="preserve"> majetku</w:t>
      </w:r>
      <w:r w:rsidRPr="00205EFB">
        <w:rPr>
          <w:i/>
          <w:sz w:val="22"/>
          <w:szCs w:val="24"/>
        </w:rPr>
        <w:t xml:space="preserve">.  Nedoplnění = vyřazení. </w:t>
      </w:r>
    </w:p>
    <w:p w:rsidR="00363427" w:rsidRPr="00205EFB" w:rsidRDefault="00363427" w:rsidP="005A6873">
      <w:pPr>
        <w:spacing w:before="60" w:after="0"/>
        <w:ind w:left="284"/>
        <w:rPr>
          <w:i/>
          <w:sz w:val="22"/>
          <w:szCs w:val="24"/>
        </w:rPr>
      </w:pPr>
      <w:r w:rsidRPr="00205EFB">
        <w:rPr>
          <w:i/>
          <w:sz w:val="22"/>
          <w:szCs w:val="24"/>
        </w:rPr>
        <w:t>-Hodnota majetku v jiných údajích než v tis. Kč = vyřazení.</w:t>
      </w:r>
    </w:p>
    <w:p w:rsidR="00363427" w:rsidRPr="00205EFB" w:rsidRDefault="00363427" w:rsidP="005A6873">
      <w:pPr>
        <w:spacing w:before="60" w:after="0"/>
        <w:ind w:left="284"/>
        <w:rPr>
          <w:i/>
          <w:sz w:val="22"/>
          <w:szCs w:val="24"/>
        </w:rPr>
      </w:pPr>
      <w:r w:rsidRPr="00205EFB">
        <w:rPr>
          <w:i/>
          <w:sz w:val="22"/>
          <w:szCs w:val="24"/>
        </w:rPr>
        <w:t>-Vlastnictví majetku- neuvedení = vyřazení.</w:t>
      </w:r>
    </w:p>
    <w:p w:rsidR="00363427" w:rsidRPr="00205EFB" w:rsidRDefault="00363427" w:rsidP="005A6873">
      <w:pPr>
        <w:spacing w:before="60" w:after="0"/>
        <w:ind w:left="284"/>
        <w:rPr>
          <w:i/>
          <w:sz w:val="22"/>
          <w:szCs w:val="24"/>
        </w:rPr>
      </w:pPr>
      <w:r w:rsidRPr="00205EFB">
        <w:rPr>
          <w:i/>
          <w:sz w:val="22"/>
          <w:szCs w:val="24"/>
        </w:rPr>
        <w:t>-Členská základna s 0 hodnot</w:t>
      </w:r>
      <w:r>
        <w:rPr>
          <w:i/>
          <w:sz w:val="22"/>
          <w:szCs w:val="24"/>
        </w:rPr>
        <w:t>o</w:t>
      </w:r>
      <w:r w:rsidRPr="00205EFB">
        <w:rPr>
          <w:i/>
          <w:sz w:val="22"/>
          <w:szCs w:val="24"/>
        </w:rPr>
        <w:t>u = vyřazení.</w:t>
      </w:r>
    </w:p>
    <w:p w:rsidR="00363427" w:rsidRPr="00205EFB" w:rsidRDefault="00363427" w:rsidP="00680A9C">
      <w:pPr>
        <w:spacing w:after="0"/>
        <w:ind w:left="284"/>
        <w:rPr>
          <w:i/>
          <w:sz w:val="20"/>
          <w:szCs w:val="24"/>
        </w:rPr>
      </w:pPr>
    </w:p>
    <w:p w:rsidR="00363427" w:rsidRPr="002F102F" w:rsidRDefault="00363427" w:rsidP="00664A12">
      <w:pPr>
        <w:pStyle w:val="ListParagraph"/>
        <w:numPr>
          <w:ilvl w:val="0"/>
          <w:numId w:val="8"/>
        </w:numPr>
        <w:spacing w:before="120" w:after="0"/>
        <w:ind w:left="284" w:hanging="284"/>
        <w:rPr>
          <w:sz w:val="22"/>
          <w:szCs w:val="24"/>
          <w:u w:val="single"/>
        </w:rPr>
      </w:pPr>
      <w:r w:rsidRPr="002F102F">
        <w:rPr>
          <w:sz w:val="22"/>
          <w:szCs w:val="24"/>
          <w:u w:val="single"/>
        </w:rPr>
        <w:t>Duplicitní vykázání žadatelů s jedním IČ.</w:t>
      </w:r>
    </w:p>
    <w:p w:rsidR="00363427" w:rsidRPr="00205EFB" w:rsidRDefault="00363427" w:rsidP="00664A12">
      <w:pPr>
        <w:spacing w:after="0"/>
        <w:ind w:left="284"/>
        <w:rPr>
          <w:i/>
          <w:sz w:val="22"/>
          <w:szCs w:val="24"/>
        </w:rPr>
      </w:pPr>
      <w:r w:rsidRPr="00205EFB">
        <w:rPr>
          <w:i/>
          <w:sz w:val="22"/>
          <w:szCs w:val="24"/>
        </w:rPr>
        <w:t>Duplicitní údaje IČ = vyřazení.</w:t>
      </w:r>
    </w:p>
    <w:p w:rsidR="00363427" w:rsidRPr="00205EFB" w:rsidRDefault="00363427" w:rsidP="00664A12">
      <w:pPr>
        <w:spacing w:after="0"/>
        <w:ind w:left="284"/>
        <w:rPr>
          <w:i/>
          <w:sz w:val="22"/>
          <w:szCs w:val="24"/>
        </w:rPr>
      </w:pPr>
      <w:r w:rsidRPr="00205EFB">
        <w:rPr>
          <w:i/>
          <w:sz w:val="22"/>
          <w:szCs w:val="24"/>
        </w:rPr>
        <w:t xml:space="preserve">Duplicity IČ nebyly nalezeny při uplatnění různými svazy, ale pouze uvnitř některých svazů. </w:t>
      </w:r>
    </w:p>
    <w:p w:rsidR="00363427" w:rsidRDefault="00363427" w:rsidP="00147F09">
      <w:pPr>
        <w:spacing w:after="0"/>
        <w:rPr>
          <w:b/>
          <w:sz w:val="28"/>
        </w:rPr>
        <w:sectPr w:rsidR="00363427" w:rsidSect="00C166F8">
          <w:type w:val="continuous"/>
          <w:pgSz w:w="11906" w:h="16838"/>
          <w:pgMar w:top="962" w:right="1417" w:bottom="1417" w:left="1417" w:header="284" w:footer="708" w:gutter="0"/>
          <w:cols w:num="2" w:sep="1" w:space="709"/>
          <w:docGrid w:linePitch="360"/>
        </w:sectPr>
      </w:pPr>
    </w:p>
    <w:p w:rsidR="00363427" w:rsidRDefault="00363427" w:rsidP="00147F09">
      <w:pPr>
        <w:spacing w:after="0"/>
        <w:rPr>
          <w:b/>
          <w:sz w:val="28"/>
        </w:rPr>
      </w:pPr>
    </w:p>
    <w:p w:rsidR="00363427" w:rsidRPr="004061EB" w:rsidRDefault="00363427" w:rsidP="00147F09">
      <w:pPr>
        <w:spacing w:after="0"/>
        <w:rPr>
          <w:b/>
          <w:sz w:val="22"/>
        </w:rPr>
        <w:sectPr w:rsidR="00363427" w:rsidRPr="004061EB" w:rsidSect="00FD7898">
          <w:type w:val="continuous"/>
          <w:pgSz w:w="11906" w:h="16838"/>
          <w:pgMar w:top="962" w:right="1417" w:bottom="1417" w:left="1417" w:header="284" w:footer="708" w:gutter="0"/>
          <w:cols w:num="2" w:space="708"/>
          <w:docGrid w:linePitch="360"/>
        </w:sectPr>
      </w:pPr>
    </w:p>
    <w:p w:rsidR="00363427" w:rsidRDefault="00363427" w:rsidP="00147F09">
      <w:pPr>
        <w:spacing w:after="0"/>
        <w:rPr>
          <w:b/>
          <w:sz w:val="28"/>
        </w:rPr>
      </w:pPr>
    </w:p>
    <w:p w:rsidR="00363427" w:rsidRDefault="00363427" w:rsidP="004061EB">
      <w:pPr>
        <w:spacing w:after="0"/>
        <w:rPr>
          <w:b/>
          <w:color w:val="EEECE1"/>
          <w:sz w:val="28"/>
        </w:rPr>
      </w:pPr>
      <w:r w:rsidRPr="00445BE5">
        <w:rPr>
          <w:b/>
          <w:color w:val="EEECE1"/>
          <w:sz w:val="28"/>
        </w:rPr>
        <w:t>Program IV – vysvětlení:</w:t>
      </w:r>
    </w:p>
    <w:p w:rsidR="00363427" w:rsidRPr="00445BE5" w:rsidRDefault="00363427" w:rsidP="004061EB">
      <w:pPr>
        <w:spacing w:after="0"/>
        <w:rPr>
          <w:b/>
          <w:color w:val="EEECE1"/>
          <w:sz w:val="28"/>
        </w:rPr>
      </w:pPr>
    </w:p>
    <w:p w:rsidR="00363427" w:rsidRDefault="00363427" w:rsidP="005A6873">
      <w:pPr>
        <w:spacing w:after="0"/>
        <w:rPr>
          <w:i/>
          <w:szCs w:val="24"/>
        </w:rPr>
        <w:sectPr w:rsidR="00363427" w:rsidSect="00A353C4">
          <w:type w:val="continuous"/>
          <w:pgSz w:w="11906" w:h="16838"/>
          <w:pgMar w:top="962" w:right="1417" w:bottom="1417" w:left="1417" w:header="284" w:footer="708" w:gutter="0"/>
          <w:cols w:space="708"/>
          <w:docGrid w:linePitch="360"/>
        </w:sectPr>
      </w:pPr>
    </w:p>
    <w:p w:rsidR="00363427" w:rsidRPr="006437F2" w:rsidRDefault="00363427" w:rsidP="005A6873">
      <w:pPr>
        <w:spacing w:after="0"/>
        <w:rPr>
          <w:i/>
          <w:sz w:val="22"/>
          <w:szCs w:val="24"/>
        </w:rPr>
      </w:pPr>
      <w:r w:rsidRPr="006437F2">
        <w:rPr>
          <w:i/>
          <w:sz w:val="22"/>
          <w:szCs w:val="24"/>
        </w:rPr>
        <w:t xml:space="preserve">Rekapitulace </w:t>
      </w:r>
      <w:r>
        <w:rPr>
          <w:i/>
          <w:sz w:val="22"/>
          <w:szCs w:val="24"/>
        </w:rPr>
        <w:t>postupu</w:t>
      </w:r>
      <w:r w:rsidRPr="006437F2">
        <w:rPr>
          <w:i/>
          <w:sz w:val="22"/>
          <w:szCs w:val="24"/>
        </w:rPr>
        <w:t xml:space="preserve"> výpočtu a rozdělení dotací:</w:t>
      </w:r>
    </w:p>
    <w:p w:rsidR="00363427" w:rsidRPr="006437F2" w:rsidRDefault="00363427" w:rsidP="005A6873">
      <w:pPr>
        <w:pStyle w:val="ListParagraph"/>
        <w:numPr>
          <w:ilvl w:val="0"/>
          <w:numId w:val="9"/>
        </w:numPr>
        <w:spacing w:after="0"/>
        <w:ind w:left="284" w:hanging="284"/>
        <w:rPr>
          <w:i/>
          <w:sz w:val="22"/>
          <w:szCs w:val="24"/>
        </w:rPr>
      </w:pPr>
      <w:r w:rsidRPr="006437F2">
        <w:rPr>
          <w:i/>
          <w:sz w:val="22"/>
          <w:szCs w:val="24"/>
        </w:rPr>
        <w:t>Krok – Seskupení žádostí a kontrola správnosti předložených žádostí.</w:t>
      </w:r>
    </w:p>
    <w:p w:rsidR="00363427" w:rsidRPr="006437F2" w:rsidRDefault="00363427" w:rsidP="005A6873">
      <w:pPr>
        <w:pStyle w:val="ListParagraph"/>
        <w:numPr>
          <w:ilvl w:val="0"/>
          <w:numId w:val="9"/>
        </w:numPr>
        <w:spacing w:after="0"/>
        <w:ind w:left="284" w:hanging="284"/>
        <w:rPr>
          <w:i/>
          <w:sz w:val="22"/>
          <w:szCs w:val="24"/>
        </w:rPr>
      </w:pPr>
      <w:r w:rsidRPr="006437F2">
        <w:rPr>
          <w:i/>
          <w:sz w:val="22"/>
          <w:szCs w:val="24"/>
        </w:rPr>
        <w:t>Krok – Kontrola elektronických údajů – přehled konečných příjemců. Provedeno náhodné prověření údajů o hodnotě majetku.</w:t>
      </w:r>
    </w:p>
    <w:p w:rsidR="00363427" w:rsidRPr="006437F2" w:rsidRDefault="00363427" w:rsidP="005A6873">
      <w:pPr>
        <w:pStyle w:val="ListParagraph"/>
        <w:numPr>
          <w:ilvl w:val="0"/>
          <w:numId w:val="9"/>
        </w:numPr>
        <w:spacing w:after="0"/>
        <w:ind w:left="284" w:hanging="284"/>
        <w:rPr>
          <w:i/>
          <w:sz w:val="22"/>
          <w:szCs w:val="24"/>
        </w:rPr>
      </w:pPr>
      <w:r w:rsidRPr="006437F2">
        <w:rPr>
          <w:i/>
          <w:sz w:val="22"/>
          <w:szCs w:val="24"/>
        </w:rPr>
        <w:t>Krok – Převedení správných údajů k celkovému výpočtu.</w:t>
      </w:r>
    </w:p>
    <w:p w:rsidR="00363427" w:rsidRPr="006437F2" w:rsidRDefault="00363427" w:rsidP="005A6873">
      <w:pPr>
        <w:pStyle w:val="ListParagraph"/>
        <w:numPr>
          <w:ilvl w:val="0"/>
          <w:numId w:val="9"/>
        </w:numPr>
        <w:spacing w:after="0"/>
        <w:ind w:left="284" w:hanging="284"/>
        <w:rPr>
          <w:i/>
          <w:sz w:val="22"/>
          <w:szCs w:val="24"/>
        </w:rPr>
      </w:pPr>
      <w:r w:rsidRPr="006437F2">
        <w:rPr>
          <w:i/>
          <w:sz w:val="22"/>
          <w:szCs w:val="24"/>
        </w:rPr>
        <w:t xml:space="preserve">Omezení celkových hodnot výpočtu, které byly nad 20 mil. s dopočtem zbytku. </w:t>
      </w:r>
    </w:p>
    <w:p w:rsidR="00363427" w:rsidRPr="006437F2" w:rsidRDefault="00363427" w:rsidP="005A6873">
      <w:pPr>
        <w:spacing w:after="0"/>
        <w:rPr>
          <w:i/>
          <w:sz w:val="22"/>
          <w:szCs w:val="24"/>
        </w:rPr>
      </w:pPr>
    </w:p>
    <w:p w:rsidR="00363427" w:rsidRPr="00205EFB" w:rsidRDefault="00363427" w:rsidP="005A6873">
      <w:pPr>
        <w:spacing w:after="0"/>
        <w:rPr>
          <w:b/>
          <w:i/>
          <w:sz w:val="22"/>
          <w:szCs w:val="24"/>
          <w:u w:val="single"/>
        </w:rPr>
      </w:pPr>
      <w:r w:rsidRPr="00205EFB">
        <w:rPr>
          <w:b/>
          <w:i/>
          <w:sz w:val="22"/>
          <w:szCs w:val="24"/>
          <w:u w:val="single"/>
        </w:rPr>
        <w:t xml:space="preserve">Poznámka k realizaci: </w:t>
      </w:r>
    </w:p>
    <w:p w:rsidR="00363427" w:rsidRPr="006437F2" w:rsidRDefault="00363427" w:rsidP="008F4374">
      <w:pPr>
        <w:spacing w:before="120" w:after="0"/>
        <w:rPr>
          <w:i/>
          <w:sz w:val="22"/>
          <w:szCs w:val="24"/>
        </w:rPr>
      </w:pPr>
      <w:r w:rsidRPr="006437F2">
        <w:rPr>
          <w:i/>
          <w:sz w:val="22"/>
          <w:szCs w:val="24"/>
        </w:rPr>
        <w:t>Výpočet je jednou stranou mince – získání objektivního finančního objemu podle dodaných faktografických údajů. Na druhé straně je skutečné rozdělení státní dotace na konečné příjemce sportovním svazem.</w:t>
      </w:r>
    </w:p>
    <w:p w:rsidR="00363427" w:rsidRPr="006437F2" w:rsidRDefault="00363427" w:rsidP="005A6873">
      <w:pPr>
        <w:spacing w:after="0"/>
        <w:rPr>
          <w:i/>
          <w:sz w:val="22"/>
          <w:szCs w:val="24"/>
        </w:rPr>
      </w:pPr>
      <w:r w:rsidRPr="006437F2">
        <w:rPr>
          <w:i/>
          <w:sz w:val="22"/>
          <w:szCs w:val="24"/>
        </w:rPr>
        <w:t>Dle vyhlášených podmínek je stanoveno, že za přerozdělení státní dotace na konečné příjemce zodpovídá sportovní svaz.</w:t>
      </w:r>
    </w:p>
    <w:p w:rsidR="00363427" w:rsidRDefault="00363427" w:rsidP="005A6873">
      <w:pPr>
        <w:spacing w:after="0"/>
        <w:rPr>
          <w:i/>
          <w:sz w:val="22"/>
          <w:szCs w:val="24"/>
        </w:rPr>
      </w:pPr>
      <w:r w:rsidRPr="006437F2">
        <w:rPr>
          <w:i/>
          <w:sz w:val="22"/>
          <w:szCs w:val="24"/>
        </w:rPr>
        <w:t>MŠMT nestanovuje</w:t>
      </w:r>
      <w:r>
        <w:rPr>
          <w:i/>
          <w:sz w:val="22"/>
          <w:szCs w:val="24"/>
        </w:rPr>
        <w:t xml:space="preserve"> seznam konečných realizovaných příjemců dotace za předpokladu, že příjemci splňují požadované podmínky.</w:t>
      </w:r>
    </w:p>
    <w:p w:rsidR="00363427" w:rsidRPr="006437F2" w:rsidRDefault="00363427" w:rsidP="005A6873">
      <w:pPr>
        <w:spacing w:after="0"/>
        <w:rPr>
          <w:i/>
          <w:sz w:val="22"/>
          <w:szCs w:val="24"/>
        </w:rPr>
      </w:pPr>
      <w:r w:rsidRPr="006437F2">
        <w:rPr>
          <w:i/>
          <w:sz w:val="22"/>
          <w:szCs w:val="24"/>
        </w:rPr>
        <w:t>Tento stav však</w:t>
      </w:r>
      <w:r>
        <w:rPr>
          <w:i/>
          <w:sz w:val="22"/>
          <w:szCs w:val="24"/>
        </w:rPr>
        <w:t xml:space="preserve"> platí</w:t>
      </w:r>
      <w:r w:rsidRPr="006437F2">
        <w:rPr>
          <w:i/>
          <w:sz w:val="22"/>
          <w:szCs w:val="24"/>
        </w:rPr>
        <w:t>pouze pro rok 2012</w:t>
      </w:r>
      <w:r>
        <w:rPr>
          <w:i/>
          <w:sz w:val="22"/>
          <w:szCs w:val="24"/>
        </w:rPr>
        <w:t>.</w:t>
      </w:r>
    </w:p>
    <w:p w:rsidR="00363427" w:rsidRPr="006437F2" w:rsidRDefault="00363427" w:rsidP="005A6873">
      <w:pPr>
        <w:spacing w:after="0"/>
        <w:rPr>
          <w:i/>
          <w:sz w:val="22"/>
          <w:szCs w:val="24"/>
        </w:rPr>
      </w:pPr>
      <w:r w:rsidRPr="006437F2">
        <w:rPr>
          <w:i/>
          <w:sz w:val="22"/>
          <w:szCs w:val="24"/>
        </w:rPr>
        <w:t xml:space="preserve">Pro následné roky </w:t>
      </w:r>
      <w:r>
        <w:rPr>
          <w:i/>
          <w:sz w:val="22"/>
          <w:szCs w:val="24"/>
        </w:rPr>
        <w:t xml:space="preserve">dojde ke </w:t>
      </w:r>
      <w:r w:rsidRPr="006437F2">
        <w:rPr>
          <w:i/>
          <w:sz w:val="22"/>
          <w:szCs w:val="24"/>
        </w:rPr>
        <w:t>zpřesn</w:t>
      </w:r>
      <w:r>
        <w:rPr>
          <w:i/>
          <w:sz w:val="22"/>
          <w:szCs w:val="24"/>
        </w:rPr>
        <w:t>ění</w:t>
      </w:r>
      <w:r w:rsidRPr="006437F2">
        <w:rPr>
          <w:i/>
          <w:sz w:val="22"/>
          <w:szCs w:val="24"/>
        </w:rPr>
        <w:t xml:space="preserve"> podmín</w:t>
      </w:r>
      <w:r>
        <w:rPr>
          <w:i/>
          <w:sz w:val="22"/>
          <w:szCs w:val="24"/>
        </w:rPr>
        <w:t>e</w:t>
      </w:r>
      <w:r w:rsidRPr="006437F2">
        <w:rPr>
          <w:i/>
          <w:sz w:val="22"/>
          <w:szCs w:val="24"/>
        </w:rPr>
        <w:t xml:space="preserve">k, protože úskalí, které souvisí s následnými záměry sportovních svazů (poskytnout podporu i těm, kde byly chybné údaje a byly vyřazeny, ale i dokonce </w:t>
      </w:r>
      <w:r>
        <w:rPr>
          <w:i/>
          <w:sz w:val="22"/>
          <w:szCs w:val="24"/>
        </w:rPr>
        <w:t>těm</w:t>
      </w:r>
      <w:r w:rsidRPr="006437F2">
        <w:rPr>
          <w:i/>
          <w:sz w:val="22"/>
          <w:szCs w:val="24"/>
        </w:rPr>
        <w:t xml:space="preserve">, které nebyly vůbec uvedeny v seznamu).  </w:t>
      </w:r>
    </w:p>
    <w:p w:rsidR="00363427" w:rsidRPr="006437F2" w:rsidRDefault="00363427" w:rsidP="005A6873">
      <w:pPr>
        <w:spacing w:after="0"/>
        <w:rPr>
          <w:i/>
          <w:sz w:val="22"/>
          <w:szCs w:val="24"/>
        </w:rPr>
      </w:pPr>
      <w:r w:rsidRPr="006437F2">
        <w:rPr>
          <w:i/>
          <w:sz w:val="22"/>
          <w:szCs w:val="24"/>
        </w:rPr>
        <w:t>Upozorňujeme sportovní svazy, že výše uvedené záměry si musí sportovní svaz vysvětlit své členské základně sám.</w:t>
      </w:r>
    </w:p>
    <w:p w:rsidR="00363427" w:rsidRPr="00505950" w:rsidRDefault="00363427" w:rsidP="00505950">
      <w:pPr>
        <w:spacing w:before="120" w:after="0"/>
        <w:rPr>
          <w:i/>
          <w:sz w:val="22"/>
          <w:szCs w:val="24"/>
        </w:rPr>
      </w:pPr>
      <w:r w:rsidRPr="00505950">
        <w:rPr>
          <w:i/>
          <w:sz w:val="22"/>
          <w:szCs w:val="24"/>
        </w:rPr>
        <w:t xml:space="preserve">Sportovní svaz odpovídá za pravdivé údaje </w:t>
      </w:r>
      <w:r>
        <w:rPr>
          <w:i/>
          <w:sz w:val="22"/>
          <w:szCs w:val="24"/>
        </w:rPr>
        <w:t xml:space="preserve">uvedené </w:t>
      </w:r>
      <w:r w:rsidRPr="00505950">
        <w:rPr>
          <w:i/>
          <w:sz w:val="22"/>
          <w:szCs w:val="24"/>
        </w:rPr>
        <w:t>v</w:t>
      </w:r>
      <w:r>
        <w:rPr>
          <w:i/>
          <w:sz w:val="22"/>
          <w:szCs w:val="24"/>
        </w:rPr>
        <w:t> </w:t>
      </w:r>
      <w:r w:rsidRPr="00505950">
        <w:rPr>
          <w:i/>
          <w:sz w:val="22"/>
          <w:szCs w:val="24"/>
        </w:rPr>
        <w:t>podkladech</w:t>
      </w:r>
      <w:r>
        <w:rPr>
          <w:i/>
          <w:sz w:val="22"/>
          <w:szCs w:val="24"/>
        </w:rPr>
        <w:t xml:space="preserve"> i za údaje od konečných příjemců (např. hodnotu majetku, počet členské základny, vlastnickou formu, pronájem min. na 10 let atd.).</w:t>
      </w:r>
    </w:p>
    <w:p w:rsidR="00363427" w:rsidRDefault="00363427" w:rsidP="00147F09">
      <w:pPr>
        <w:spacing w:after="0"/>
        <w:rPr>
          <w:b/>
          <w:i/>
          <w:sz w:val="22"/>
        </w:rPr>
      </w:pPr>
    </w:p>
    <w:p w:rsidR="00363427" w:rsidRPr="008E1AF2" w:rsidRDefault="00363427" w:rsidP="00147F09">
      <w:pPr>
        <w:spacing w:after="0"/>
        <w:rPr>
          <w:b/>
          <w:i/>
          <w:sz w:val="22"/>
        </w:rPr>
      </w:pPr>
      <w:r w:rsidRPr="008E1AF2">
        <w:rPr>
          <w:b/>
          <w:i/>
          <w:sz w:val="22"/>
        </w:rPr>
        <w:t xml:space="preserve">Doporučujeme: </w:t>
      </w:r>
      <w:r w:rsidRPr="008E1AF2">
        <w:rPr>
          <w:i/>
          <w:sz w:val="22"/>
        </w:rPr>
        <w:t xml:space="preserve">Mimořádné </w:t>
      </w:r>
      <w:r>
        <w:rPr>
          <w:i/>
          <w:sz w:val="22"/>
        </w:rPr>
        <w:t>záležitosti řešit z prostředků Programu V, nikoliv Programu IV.</w:t>
      </w:r>
    </w:p>
    <w:p w:rsidR="00363427" w:rsidRPr="008E1AF2" w:rsidRDefault="00363427" w:rsidP="00147F09">
      <w:pPr>
        <w:spacing w:after="0"/>
        <w:rPr>
          <w:b/>
          <w:i/>
          <w:sz w:val="22"/>
        </w:rPr>
        <w:sectPr w:rsidR="00363427" w:rsidRPr="008E1AF2" w:rsidSect="00C166F8">
          <w:type w:val="continuous"/>
          <w:pgSz w:w="11906" w:h="16838"/>
          <w:pgMar w:top="962" w:right="1417" w:bottom="1417" w:left="1417" w:header="284" w:footer="708" w:gutter="0"/>
          <w:cols w:num="2" w:sep="1" w:space="709"/>
          <w:docGrid w:linePitch="360"/>
        </w:sectPr>
      </w:pPr>
    </w:p>
    <w:p w:rsidR="00363427" w:rsidRDefault="00363427" w:rsidP="00147F09">
      <w:pPr>
        <w:spacing w:after="0"/>
        <w:rPr>
          <w:b/>
          <w:sz w:val="28"/>
        </w:rPr>
      </w:pPr>
    </w:p>
    <w:p w:rsidR="00363427" w:rsidRDefault="00363427" w:rsidP="00147F09">
      <w:pPr>
        <w:spacing w:after="0"/>
        <w:rPr>
          <w:b/>
          <w:sz w:val="28"/>
        </w:rPr>
      </w:pPr>
    </w:p>
    <w:p w:rsidR="00363427" w:rsidRDefault="00363427" w:rsidP="00147F09">
      <w:pPr>
        <w:spacing w:after="0"/>
        <w:rPr>
          <w:b/>
          <w:sz w:val="28"/>
        </w:rPr>
      </w:pPr>
    </w:p>
    <w:p w:rsidR="00363427" w:rsidRDefault="00363427" w:rsidP="00147F09">
      <w:pPr>
        <w:spacing w:after="0"/>
        <w:rPr>
          <w:b/>
          <w:sz w:val="28"/>
        </w:rPr>
      </w:pPr>
    </w:p>
    <w:p w:rsidR="00363427" w:rsidRPr="00D065D2" w:rsidRDefault="00363427" w:rsidP="005F6B00">
      <w:pPr>
        <w:pBdr>
          <w:top w:val="single" w:sz="18" w:space="1" w:color="E36C0A"/>
          <w:left w:val="single" w:sz="18" w:space="4" w:color="E36C0A"/>
          <w:bottom w:val="single" w:sz="18" w:space="8" w:color="E36C0A"/>
          <w:right w:val="single" w:sz="18" w:space="4" w:color="E36C0A"/>
        </w:pBdr>
        <w:spacing w:after="0"/>
        <w:rPr>
          <w:b/>
          <w:sz w:val="12"/>
        </w:rPr>
      </w:pPr>
    </w:p>
    <w:p w:rsidR="00363427" w:rsidRPr="00147F09" w:rsidRDefault="00363427" w:rsidP="005F6B00">
      <w:pPr>
        <w:pBdr>
          <w:top w:val="single" w:sz="18" w:space="1" w:color="E36C0A"/>
          <w:left w:val="single" w:sz="18" w:space="4" w:color="E36C0A"/>
          <w:bottom w:val="single" w:sz="18" w:space="8" w:color="E36C0A"/>
          <w:right w:val="single" w:sz="18" w:space="4" w:color="E36C0A"/>
        </w:pBdr>
        <w:spacing w:after="0"/>
        <w:rPr>
          <w:b/>
          <w:sz w:val="28"/>
        </w:rPr>
      </w:pPr>
      <w:r>
        <w:rPr>
          <w:b/>
          <w:sz w:val="28"/>
        </w:rPr>
        <w:t>Program V   -   Organizace sportu</w:t>
      </w:r>
    </w:p>
    <w:p w:rsidR="00363427" w:rsidRDefault="00363427" w:rsidP="00147F09">
      <w:pPr>
        <w:spacing w:after="0"/>
        <w:rPr>
          <w:b/>
          <w:sz w:val="28"/>
        </w:rPr>
      </w:pPr>
      <w:r>
        <w:rPr>
          <w:noProof/>
          <w:lang w:eastAsia="cs-CZ"/>
        </w:rPr>
        <w:pict>
          <v:group id="Skupina 26" o:spid="_x0000_s1043" style="position:absolute;left:0;text-align:left;margin-left:469.15pt;margin-top:514.65pt;width:58.3pt;height:61.2pt;rotation:90;z-index:251656704;mso-position-horizontal-relative:page;mso-position-vertical-relative:page" coordorigin="10217,9410" coordsize="1565,590">
            <v:shape id="AutoShape 8" o:spid="_x0000_s1044" type="#_x0000_t55" style="position:absolute;left:11100;top:9410;width:682;height:590;visibility:visible" adj="10330" fillcolor="#c4bc96" stroked="f" strokecolor="white"/>
            <v:shape id="AutoShape 9" o:spid="_x0000_s1045" type="#_x0000_t55" style="position:absolute;left:10659;top:9410;width:682;height:590;visibility:visible" adj="10330" fillcolor="#938953" stroked="f" strokecolor="white"/>
            <v:shape id="AutoShape 10" o:spid="_x0000_s1046" type="#_x0000_t55" style="position:absolute;left:10217;top:9410;width:682;height:590;visibility:visible" adj="10834" fillcolor="#484329" stroked="f" strokecolor="white"/>
            <w10:wrap anchorx="page" anchory="page"/>
          </v:group>
        </w:pict>
      </w:r>
    </w:p>
    <w:p w:rsidR="00363427" w:rsidRDefault="00363427" w:rsidP="00147F09">
      <w:pPr>
        <w:spacing w:after="0"/>
        <w:rPr>
          <w:b/>
          <w:sz w:val="28"/>
        </w:rPr>
      </w:pPr>
    </w:p>
    <w:p w:rsidR="00363427" w:rsidRDefault="00363427" w:rsidP="00147F09">
      <w:pPr>
        <w:spacing w:after="0"/>
        <w:rPr>
          <w:b/>
          <w:sz w:val="28"/>
        </w:rPr>
      </w:pPr>
    </w:p>
    <w:p w:rsidR="00363427" w:rsidRDefault="00363427" w:rsidP="00147F09">
      <w:pPr>
        <w:spacing w:after="0"/>
        <w:rPr>
          <w:b/>
          <w:sz w:val="28"/>
        </w:rPr>
      </w:pPr>
    </w:p>
    <w:p w:rsidR="00363427" w:rsidRDefault="00363427" w:rsidP="00147F09">
      <w:pPr>
        <w:spacing w:after="0"/>
        <w:rPr>
          <w:b/>
          <w:sz w:val="28"/>
        </w:rPr>
      </w:pPr>
    </w:p>
    <w:p w:rsidR="00363427" w:rsidRPr="00C15108" w:rsidRDefault="00363427" w:rsidP="008112CA">
      <w:pPr>
        <w:pBdr>
          <w:top w:val="single" w:sz="12" w:space="1" w:color="0000FA"/>
        </w:pBdr>
        <w:tabs>
          <w:tab w:val="left" w:pos="6804"/>
        </w:tabs>
        <w:spacing w:before="240" w:after="0"/>
        <w:ind w:right="-15"/>
        <w:rPr>
          <w:rFonts w:ascii="Cambria" w:hAnsi="Cambria"/>
          <w:i/>
          <w:iCs/>
          <w:color w:val="595959"/>
        </w:rPr>
      </w:pPr>
    </w:p>
    <w:p w:rsidR="00363427" w:rsidRPr="0070045C" w:rsidRDefault="00363427" w:rsidP="008112CA">
      <w:pPr>
        <w:pStyle w:val="ListParagraph"/>
        <w:numPr>
          <w:ilvl w:val="0"/>
          <w:numId w:val="4"/>
        </w:numPr>
        <w:tabs>
          <w:tab w:val="left" w:pos="6804"/>
        </w:tabs>
        <w:spacing w:after="0"/>
        <w:ind w:left="567" w:right="-15" w:hanging="567"/>
        <w:rPr>
          <w:rFonts w:ascii="Cambria" w:hAnsi="Cambria"/>
          <w:i/>
          <w:iCs/>
          <w:color w:val="595959"/>
        </w:rPr>
      </w:pPr>
      <w:r>
        <w:t xml:space="preserve">Podpora u Programu V pro rok 2012 je poskytována prostřednictvím MŠMT a navazuje na podporu poskytovanou z MF (tzv. „Kalouskovné“). Účelové zaměření zůstává obdobné jako v minulých letech. Podmínky jsou stanoveny vyhlášením Státní podpory sportu a metodikou – Zásady Programu V, zveřejněno na adrese: </w:t>
      </w:r>
      <w:hyperlink r:id="rId13" w:history="1">
        <w:r w:rsidRPr="00DB3D4C">
          <w:rPr>
            <w:rStyle w:val="Hyperlink"/>
          </w:rPr>
          <w:t>www.msmt.cz</w:t>
        </w:r>
      </w:hyperlink>
      <w:r>
        <w:t xml:space="preserve"> – sport.</w:t>
      </w:r>
    </w:p>
    <w:p w:rsidR="00363427" w:rsidRDefault="00363427" w:rsidP="008112CA">
      <w:pPr>
        <w:tabs>
          <w:tab w:val="left" w:pos="6804"/>
        </w:tabs>
        <w:spacing w:after="0"/>
        <w:ind w:right="-15"/>
      </w:pPr>
    </w:p>
    <w:p w:rsidR="00363427" w:rsidRPr="00DB15F0" w:rsidRDefault="00363427" w:rsidP="008112CA">
      <w:pPr>
        <w:pStyle w:val="ListParagraph"/>
        <w:numPr>
          <w:ilvl w:val="0"/>
          <w:numId w:val="4"/>
        </w:numPr>
        <w:tabs>
          <w:tab w:val="left" w:pos="6804"/>
        </w:tabs>
        <w:spacing w:after="0"/>
        <w:ind w:left="567" w:right="-15" w:hanging="567"/>
        <w:rPr>
          <w:rFonts w:ascii="Cambria" w:hAnsi="Cambria"/>
          <w:i/>
          <w:iCs/>
        </w:rPr>
      </w:pPr>
      <w:r>
        <w:rPr>
          <w:rFonts w:ascii="Cambria" w:hAnsi="Cambria"/>
          <w:iCs/>
        </w:rPr>
        <w:t>Podmínky-požadavky:</w:t>
      </w:r>
    </w:p>
    <w:p w:rsidR="00363427" w:rsidRDefault="00363427" w:rsidP="008112CA">
      <w:pPr>
        <w:pStyle w:val="ListParagraph"/>
        <w:ind w:left="567"/>
        <w:rPr>
          <w:rFonts w:ascii="Cambria" w:hAnsi="Cambria"/>
          <w:iCs/>
        </w:rPr>
      </w:pPr>
      <w:r>
        <w:rPr>
          <w:rFonts w:ascii="Cambria" w:hAnsi="Cambria"/>
          <w:iCs/>
        </w:rPr>
        <w:t xml:space="preserve">1.  Podávání oficiální žádosti. </w:t>
      </w:r>
    </w:p>
    <w:p w:rsidR="00363427" w:rsidRDefault="00363427" w:rsidP="008112CA">
      <w:pPr>
        <w:pStyle w:val="ListParagraph"/>
        <w:ind w:left="567"/>
        <w:rPr>
          <w:rFonts w:ascii="Cambria" w:hAnsi="Cambria"/>
          <w:iCs/>
        </w:rPr>
      </w:pPr>
      <w:r>
        <w:rPr>
          <w:rFonts w:ascii="Cambria" w:hAnsi="Cambria"/>
          <w:iCs/>
        </w:rPr>
        <w:t>2.  Vyplnění všech stanovených údajů.</w:t>
      </w:r>
    </w:p>
    <w:p w:rsidR="00363427" w:rsidRDefault="00363427" w:rsidP="008112CA">
      <w:pPr>
        <w:pStyle w:val="ListParagraph"/>
        <w:ind w:left="567"/>
        <w:rPr>
          <w:rFonts w:ascii="Cambria" w:hAnsi="Cambria"/>
          <w:iCs/>
        </w:rPr>
      </w:pPr>
    </w:p>
    <w:p w:rsidR="00363427" w:rsidRPr="00445BE5" w:rsidRDefault="00363427" w:rsidP="008112CA">
      <w:pPr>
        <w:pStyle w:val="ListParagraph"/>
        <w:numPr>
          <w:ilvl w:val="0"/>
          <w:numId w:val="7"/>
        </w:numPr>
        <w:tabs>
          <w:tab w:val="left" w:pos="6804"/>
        </w:tabs>
        <w:spacing w:after="0"/>
        <w:ind w:left="567" w:right="-15" w:hanging="567"/>
        <w:rPr>
          <w:rFonts w:ascii="Cambria" w:hAnsi="Cambria"/>
          <w:i/>
          <w:iCs/>
        </w:rPr>
      </w:pPr>
      <w:r>
        <w:rPr>
          <w:rFonts w:ascii="Cambria" w:hAnsi="Cambria"/>
          <w:iCs/>
        </w:rPr>
        <w:t xml:space="preserve">Rozdělení státních dotací bylo vypočteno dle stanovených kritérií. </w:t>
      </w:r>
    </w:p>
    <w:p w:rsidR="00363427" w:rsidRDefault="00363427" w:rsidP="008112CA">
      <w:pPr>
        <w:pBdr>
          <w:bottom w:val="single" w:sz="12" w:space="1" w:color="0000FA"/>
        </w:pBdr>
        <w:spacing w:after="0"/>
        <w:rPr>
          <w:b/>
          <w:sz w:val="28"/>
        </w:rPr>
      </w:pPr>
    </w:p>
    <w:p w:rsidR="00363427" w:rsidRDefault="00363427" w:rsidP="008112CA">
      <w:pPr>
        <w:spacing w:after="0"/>
        <w:rPr>
          <w:b/>
          <w:sz w:val="28"/>
        </w:rPr>
      </w:pPr>
    </w:p>
    <w:p w:rsidR="00363427" w:rsidRDefault="00363427" w:rsidP="00B04A27">
      <w:pPr>
        <w:spacing w:after="0"/>
        <w:rPr>
          <w:b/>
          <w:color w:val="EEECE1"/>
          <w:sz w:val="28"/>
        </w:rPr>
      </w:pPr>
      <w:r w:rsidRPr="00445BE5">
        <w:rPr>
          <w:b/>
          <w:color w:val="EEECE1"/>
          <w:sz w:val="28"/>
        </w:rPr>
        <w:t xml:space="preserve">Program V – </w:t>
      </w:r>
      <w:r>
        <w:rPr>
          <w:b/>
          <w:color w:val="EEECE1"/>
          <w:sz w:val="28"/>
        </w:rPr>
        <w:t xml:space="preserve">účelové </w:t>
      </w:r>
      <w:r w:rsidRPr="00445BE5">
        <w:rPr>
          <w:b/>
          <w:color w:val="EEECE1"/>
          <w:sz w:val="28"/>
        </w:rPr>
        <w:t>vy</w:t>
      </w:r>
      <w:r>
        <w:rPr>
          <w:b/>
          <w:color w:val="EEECE1"/>
          <w:sz w:val="28"/>
        </w:rPr>
        <w:t>mezení</w:t>
      </w:r>
      <w:r w:rsidRPr="00445BE5">
        <w:rPr>
          <w:b/>
          <w:color w:val="EEECE1"/>
          <w:sz w:val="28"/>
        </w:rPr>
        <w:t>:</w:t>
      </w:r>
    </w:p>
    <w:p w:rsidR="00363427" w:rsidRDefault="00363427" w:rsidP="00B04A27">
      <w:pPr>
        <w:spacing w:after="0"/>
        <w:rPr>
          <w:b/>
          <w:color w:val="EEECE1"/>
          <w:sz w:val="28"/>
        </w:rPr>
      </w:pPr>
    </w:p>
    <w:p w:rsidR="00363427" w:rsidRPr="00D548C8" w:rsidRDefault="00363427" w:rsidP="00D548C8">
      <w:pPr>
        <w:pStyle w:val="Heading1"/>
        <w:rPr>
          <w:sz w:val="22"/>
          <w:szCs w:val="28"/>
        </w:rPr>
      </w:pPr>
      <w:r w:rsidRPr="00D548C8">
        <w:rPr>
          <w:sz w:val="22"/>
        </w:rPr>
        <w:t xml:space="preserve">Doplněk „Účelového určení“ č.j. 11 549/2012-50 </w:t>
      </w:r>
      <w:r w:rsidRPr="00D548C8">
        <w:rPr>
          <w:sz w:val="22"/>
          <w:szCs w:val="28"/>
        </w:rPr>
        <w:t xml:space="preserve">k Rozhodnutí schváleného PV MŠMT pod č.j. 21 459/2011-50 a aktualizováno pod č.j. MŠMT-7733-4/2012-50. Doplněk zpřesňuje účelové vymezení čerpání finančních prostředků </w:t>
      </w:r>
      <w:r>
        <w:rPr>
          <w:sz w:val="22"/>
          <w:szCs w:val="28"/>
        </w:rPr>
        <w:t>u</w:t>
      </w:r>
      <w:r w:rsidRPr="00D548C8">
        <w:rPr>
          <w:sz w:val="22"/>
          <w:szCs w:val="28"/>
        </w:rPr>
        <w:t xml:space="preserve"> Programu V. </w:t>
      </w:r>
    </w:p>
    <w:p w:rsidR="00363427" w:rsidRDefault="00363427" w:rsidP="00B04A27">
      <w:pPr>
        <w:spacing w:after="0"/>
        <w:rPr>
          <w:b/>
          <w:color w:val="EEECE1"/>
          <w:sz w:val="28"/>
        </w:rPr>
      </w:pPr>
    </w:p>
    <w:p w:rsidR="00363427" w:rsidRPr="00D548C8" w:rsidRDefault="00363427" w:rsidP="00D548C8">
      <w:pPr>
        <w:pStyle w:val="ListParagraph"/>
        <w:numPr>
          <w:ilvl w:val="0"/>
          <w:numId w:val="12"/>
        </w:numPr>
        <w:spacing w:after="0"/>
        <w:ind w:left="284" w:hanging="284"/>
        <w:contextualSpacing w:val="0"/>
        <w:rPr>
          <w:sz w:val="22"/>
          <w:u w:val="single"/>
        </w:rPr>
      </w:pPr>
      <w:r w:rsidRPr="00D548C8">
        <w:rPr>
          <w:spacing w:val="-4"/>
          <w:sz w:val="22"/>
        </w:rPr>
        <w:t xml:space="preserve">Ke schválenému účelu veřejně prospěšného charakteru v rámci podpory organizace sportu a s účelovým vymezením stanoveným v Rozhodnutí, se může dotace </w:t>
      </w:r>
      <w:r w:rsidRPr="00D548C8">
        <w:rPr>
          <w:sz w:val="22"/>
        </w:rPr>
        <w:t xml:space="preserve">poskytnout </w:t>
      </w:r>
      <w:r w:rsidRPr="00D548C8">
        <w:rPr>
          <w:b/>
          <w:sz w:val="22"/>
          <w:u w:val="single"/>
        </w:rPr>
        <w:t>až do výše rozpočtovaných nákladů</w:t>
      </w:r>
      <w:r w:rsidRPr="00D548C8">
        <w:rPr>
          <w:sz w:val="22"/>
        </w:rPr>
        <w:t>, pokud není stanoveno Rozhodnutím jinak.</w:t>
      </w:r>
    </w:p>
    <w:p w:rsidR="00363427" w:rsidRPr="00D548C8" w:rsidRDefault="00363427" w:rsidP="00D548C8">
      <w:pPr>
        <w:pStyle w:val="ListParagraph"/>
        <w:numPr>
          <w:ilvl w:val="0"/>
          <w:numId w:val="12"/>
        </w:numPr>
        <w:spacing w:before="120" w:after="0"/>
        <w:ind w:left="284" w:hanging="284"/>
        <w:contextualSpacing w:val="0"/>
        <w:rPr>
          <w:sz w:val="22"/>
          <w:u w:val="single"/>
        </w:rPr>
      </w:pPr>
      <w:r w:rsidRPr="00D548C8">
        <w:rPr>
          <w:sz w:val="22"/>
        </w:rPr>
        <w:t>Příjemce odpovídá za hospodárné a účelné použití státních prostředků k účelu, pro který byly poskytnuty, a za jejich řádné a oddělené sledování v</w:t>
      </w:r>
      <w:r>
        <w:rPr>
          <w:sz w:val="22"/>
        </w:rPr>
        <w:t> </w:t>
      </w:r>
      <w:r w:rsidRPr="00D548C8">
        <w:rPr>
          <w:sz w:val="22"/>
        </w:rPr>
        <w:t>účetnictví</w:t>
      </w:r>
      <w:r>
        <w:rPr>
          <w:sz w:val="22"/>
        </w:rPr>
        <w:t xml:space="preserve"> (podvojné účetnictví)</w:t>
      </w:r>
      <w:r w:rsidRPr="00D548C8">
        <w:rPr>
          <w:sz w:val="22"/>
        </w:rPr>
        <w:t>, které je v souladu s obecně právními předpisy uvedených v Rozhodnutí.</w:t>
      </w:r>
    </w:p>
    <w:p w:rsidR="00363427" w:rsidRPr="00D548C8" w:rsidRDefault="00363427" w:rsidP="00D548C8">
      <w:pPr>
        <w:pStyle w:val="ListParagraph"/>
        <w:numPr>
          <w:ilvl w:val="0"/>
          <w:numId w:val="12"/>
        </w:numPr>
        <w:spacing w:before="120" w:after="0"/>
        <w:ind w:left="284" w:hanging="284"/>
        <w:contextualSpacing w:val="0"/>
        <w:rPr>
          <w:sz w:val="22"/>
          <w:u w:val="single"/>
        </w:rPr>
      </w:pPr>
      <w:r w:rsidRPr="00D548C8">
        <w:rPr>
          <w:sz w:val="22"/>
        </w:rPr>
        <w:t>Příjemce dotace je povinen upravit odpovídající závaznou právní formou vztahy ke sdruženým subjektům nebo svým organizačním složkám, kterým je dotace, její část nebo věcné plnění poskytováno, včetně přenesení právně zajištěné zodpovědnosti za dodržení podmínek ministerstva.</w:t>
      </w:r>
    </w:p>
    <w:p w:rsidR="00363427" w:rsidRPr="00D548C8" w:rsidRDefault="00363427" w:rsidP="00D548C8">
      <w:pPr>
        <w:pStyle w:val="ListParagraph"/>
        <w:numPr>
          <w:ilvl w:val="0"/>
          <w:numId w:val="12"/>
        </w:numPr>
        <w:spacing w:before="120" w:after="0"/>
        <w:ind w:left="284" w:hanging="284"/>
        <w:contextualSpacing w:val="0"/>
        <w:rPr>
          <w:sz w:val="22"/>
        </w:rPr>
      </w:pPr>
      <w:r w:rsidRPr="00D548C8">
        <w:rPr>
          <w:sz w:val="22"/>
        </w:rPr>
        <w:t xml:space="preserve">Realizace, s účelovým vymezením státní podpory, je orientována na plnění sportovní, organizační a obsahové činnosti s výdaji, které prokazatelně vznikly od 1. ledna do 31. prosince příslušného kalendářního roku. </w:t>
      </w:r>
    </w:p>
    <w:p w:rsidR="00363427" w:rsidRDefault="00363427" w:rsidP="00B04A27">
      <w:pPr>
        <w:spacing w:after="0"/>
        <w:rPr>
          <w:b/>
          <w:color w:val="EEECE1"/>
          <w:sz w:val="28"/>
        </w:rPr>
      </w:pPr>
    </w:p>
    <w:p w:rsidR="00363427" w:rsidRPr="00317EBB" w:rsidRDefault="00363427" w:rsidP="008466D2">
      <w:pPr>
        <w:spacing w:before="120"/>
      </w:pPr>
      <w:r w:rsidRPr="00AA557B">
        <w:rPr>
          <w:b/>
        </w:rPr>
        <w:t>V Programu V – Organizace sportu</w:t>
      </w:r>
      <w:r>
        <w:t xml:space="preserve">- d o t a c e </w:t>
      </w:r>
      <w:r w:rsidRPr="00317EBB">
        <w:rPr>
          <w:b/>
          <w:color w:val="FF0000"/>
          <w:u w:val="single"/>
        </w:rPr>
        <w:t>nesmí být použit</w:t>
      </w:r>
      <w:r>
        <w:rPr>
          <w:b/>
          <w:color w:val="FF0000"/>
          <w:u w:val="single"/>
        </w:rPr>
        <w:t>a</w:t>
      </w:r>
      <w:r w:rsidRPr="00317EBB">
        <w:rPr>
          <w:b/>
          <w:color w:val="FF0000"/>
          <w:u w:val="single"/>
        </w:rPr>
        <w:t>na:</w:t>
      </w:r>
    </w:p>
    <w:p w:rsidR="00363427" w:rsidRDefault="00363427" w:rsidP="008466D2">
      <w:pPr>
        <w:numPr>
          <w:ilvl w:val="0"/>
          <w:numId w:val="13"/>
        </w:numPr>
        <w:spacing w:before="120" w:after="0"/>
        <w:rPr>
          <w:sz w:val="22"/>
        </w:rPr>
        <w:sectPr w:rsidR="00363427" w:rsidSect="00A353C4">
          <w:type w:val="continuous"/>
          <w:pgSz w:w="11906" w:h="16838"/>
          <w:pgMar w:top="962" w:right="1417" w:bottom="1417" w:left="1417" w:header="284" w:footer="708" w:gutter="0"/>
          <w:cols w:space="708"/>
          <w:docGrid w:linePitch="360"/>
        </w:sectPr>
      </w:pPr>
    </w:p>
    <w:p w:rsidR="00363427" w:rsidRPr="00A818A8" w:rsidRDefault="00363427" w:rsidP="006437F2">
      <w:pPr>
        <w:numPr>
          <w:ilvl w:val="0"/>
          <w:numId w:val="13"/>
        </w:numPr>
        <w:tabs>
          <w:tab w:val="clear" w:pos="783"/>
          <w:tab w:val="num" w:pos="284"/>
        </w:tabs>
        <w:spacing w:before="120" w:after="0"/>
        <w:ind w:left="284" w:hanging="284"/>
        <w:rPr>
          <w:sz w:val="22"/>
        </w:rPr>
      </w:pPr>
      <w:r w:rsidRPr="00A818A8">
        <w:rPr>
          <w:sz w:val="22"/>
        </w:rPr>
        <w:t>úhradu pořízení investičního majetku (tj. nad 40 tis. Kč),</w:t>
      </w:r>
    </w:p>
    <w:p w:rsidR="00363427" w:rsidRPr="00A818A8" w:rsidRDefault="00363427" w:rsidP="006437F2">
      <w:pPr>
        <w:numPr>
          <w:ilvl w:val="0"/>
          <w:numId w:val="13"/>
        </w:numPr>
        <w:tabs>
          <w:tab w:val="clear" w:pos="783"/>
          <w:tab w:val="num" w:pos="284"/>
        </w:tabs>
        <w:spacing w:before="60" w:after="0"/>
        <w:ind w:left="284" w:hanging="284"/>
        <w:rPr>
          <w:sz w:val="22"/>
          <w:szCs w:val="24"/>
        </w:rPr>
      </w:pPr>
      <w:r w:rsidRPr="00A818A8">
        <w:rPr>
          <w:sz w:val="22"/>
        </w:rPr>
        <w:t xml:space="preserve">úhradu úroků, penále, srážek a dalších finančních postihů vč. bankovních poplatků a </w:t>
      </w:r>
      <w:r w:rsidRPr="00A818A8">
        <w:rPr>
          <w:sz w:val="22"/>
          <w:szCs w:val="24"/>
        </w:rPr>
        <w:t>úhradu daňového zatížení bez účelových nákladů,</w:t>
      </w:r>
    </w:p>
    <w:p w:rsidR="00363427" w:rsidRPr="00A818A8" w:rsidRDefault="00363427" w:rsidP="006437F2">
      <w:pPr>
        <w:numPr>
          <w:ilvl w:val="0"/>
          <w:numId w:val="13"/>
        </w:numPr>
        <w:tabs>
          <w:tab w:val="clear" w:pos="783"/>
          <w:tab w:val="num" w:pos="284"/>
        </w:tabs>
        <w:spacing w:before="60" w:after="0"/>
        <w:ind w:left="284" w:hanging="284"/>
        <w:rPr>
          <w:sz w:val="22"/>
          <w:szCs w:val="24"/>
        </w:rPr>
      </w:pPr>
      <w:r w:rsidRPr="00A818A8">
        <w:rPr>
          <w:sz w:val="22"/>
          <w:szCs w:val="24"/>
        </w:rPr>
        <w:t>duplicitní úhradu stejných nákladů na projekt z různých zdrojů vč. zdrojů ze státního rozpočtu,</w:t>
      </w:r>
    </w:p>
    <w:p w:rsidR="00363427" w:rsidRPr="00A818A8" w:rsidRDefault="00363427" w:rsidP="006437F2">
      <w:pPr>
        <w:numPr>
          <w:ilvl w:val="0"/>
          <w:numId w:val="13"/>
        </w:numPr>
        <w:tabs>
          <w:tab w:val="clear" w:pos="783"/>
          <w:tab w:val="num" w:pos="284"/>
        </w:tabs>
        <w:spacing w:before="60" w:after="0"/>
        <w:ind w:left="284" w:hanging="284"/>
        <w:rPr>
          <w:sz w:val="22"/>
        </w:rPr>
      </w:pPr>
      <w:r w:rsidRPr="00A818A8">
        <w:rPr>
          <w:sz w:val="22"/>
        </w:rPr>
        <w:t>plnění jiným fyzickým nebo právnickým osobám, mimo obsahové zaměření projektu,</w:t>
      </w:r>
    </w:p>
    <w:p w:rsidR="00363427" w:rsidRPr="00A818A8" w:rsidRDefault="00363427" w:rsidP="006437F2">
      <w:pPr>
        <w:numPr>
          <w:ilvl w:val="0"/>
          <w:numId w:val="13"/>
        </w:numPr>
        <w:tabs>
          <w:tab w:val="clear" w:pos="783"/>
          <w:tab w:val="num" w:pos="284"/>
        </w:tabs>
        <w:spacing w:before="60" w:after="0"/>
        <w:ind w:left="284" w:hanging="284"/>
        <w:rPr>
          <w:sz w:val="22"/>
          <w:szCs w:val="24"/>
        </w:rPr>
      </w:pPr>
      <w:r w:rsidRPr="00A818A8">
        <w:rPr>
          <w:sz w:val="22"/>
          <w:szCs w:val="24"/>
        </w:rPr>
        <w:t>úhradu leasingu osobních automobilů</w:t>
      </w:r>
      <w:r>
        <w:rPr>
          <w:sz w:val="22"/>
          <w:szCs w:val="24"/>
        </w:rPr>
        <w:t xml:space="preserve"> a</w:t>
      </w:r>
      <w:r w:rsidRPr="00A818A8">
        <w:rPr>
          <w:sz w:val="22"/>
          <w:szCs w:val="24"/>
        </w:rPr>
        <w:t xml:space="preserve"> dalšího hmotného majetku, pořizování kancelářského nábytku,</w:t>
      </w:r>
    </w:p>
    <w:p w:rsidR="00363427" w:rsidRPr="00A818A8" w:rsidRDefault="00363427" w:rsidP="006437F2">
      <w:pPr>
        <w:numPr>
          <w:ilvl w:val="0"/>
          <w:numId w:val="13"/>
        </w:numPr>
        <w:tabs>
          <w:tab w:val="clear" w:pos="783"/>
          <w:tab w:val="num" w:pos="284"/>
        </w:tabs>
        <w:spacing w:before="60" w:after="0"/>
        <w:ind w:left="284" w:hanging="284"/>
        <w:rPr>
          <w:sz w:val="22"/>
        </w:rPr>
      </w:pPr>
      <w:r w:rsidRPr="00A818A8">
        <w:rPr>
          <w:sz w:val="22"/>
        </w:rPr>
        <w:t>úhradu cestovních náhrad nad rámec stanovený zákonem č. 262/2006 Sb., zákoník práce, ve znění pozdějších předpisů, a nad rámec organiz</w:t>
      </w:r>
      <w:r>
        <w:rPr>
          <w:sz w:val="22"/>
        </w:rPr>
        <w:t>.</w:t>
      </w:r>
      <w:r w:rsidRPr="00A818A8">
        <w:rPr>
          <w:sz w:val="22"/>
        </w:rPr>
        <w:t xml:space="preserve"> povinností,</w:t>
      </w:r>
    </w:p>
    <w:p w:rsidR="00363427" w:rsidRPr="00A818A8" w:rsidRDefault="00363427" w:rsidP="006437F2">
      <w:pPr>
        <w:numPr>
          <w:ilvl w:val="0"/>
          <w:numId w:val="13"/>
        </w:numPr>
        <w:tabs>
          <w:tab w:val="clear" w:pos="783"/>
          <w:tab w:val="num" w:pos="284"/>
        </w:tabs>
        <w:spacing w:before="60" w:after="0"/>
        <w:ind w:left="284" w:hanging="284"/>
        <w:rPr>
          <w:sz w:val="22"/>
        </w:rPr>
      </w:pPr>
      <w:r w:rsidRPr="00A818A8">
        <w:rPr>
          <w:sz w:val="22"/>
        </w:rPr>
        <w:t>úhradu výdajů na pohoštění</w:t>
      </w:r>
      <w:r w:rsidRPr="00A818A8">
        <w:rPr>
          <w:sz w:val="22"/>
          <w:vertAlign w:val="superscript"/>
        </w:rPr>
        <w:t>*</w:t>
      </w:r>
      <w:r w:rsidRPr="00A818A8">
        <w:rPr>
          <w:sz w:val="22"/>
        </w:rPr>
        <w:t xml:space="preserve"> a dary,</w:t>
      </w:r>
    </w:p>
    <w:p w:rsidR="00363427" w:rsidRPr="00A818A8" w:rsidRDefault="00363427" w:rsidP="006437F2">
      <w:pPr>
        <w:numPr>
          <w:ilvl w:val="0"/>
          <w:numId w:val="13"/>
        </w:numPr>
        <w:tabs>
          <w:tab w:val="clear" w:pos="783"/>
          <w:tab w:val="left" w:pos="0"/>
          <w:tab w:val="left" w:pos="142"/>
          <w:tab w:val="num" w:pos="284"/>
        </w:tabs>
        <w:spacing w:before="60" w:after="0"/>
        <w:ind w:left="284" w:hanging="284"/>
        <w:rPr>
          <w:sz w:val="22"/>
        </w:rPr>
      </w:pPr>
      <w:r w:rsidRPr="00A818A8">
        <w:rPr>
          <w:sz w:val="22"/>
        </w:rPr>
        <w:t xml:space="preserve">mzdové náklady, včetně odvodů zaměstnavatele a ostatní osobní náklady </w:t>
      </w:r>
      <w:r>
        <w:rPr>
          <w:sz w:val="22"/>
        </w:rPr>
        <w:t xml:space="preserve">pro </w:t>
      </w:r>
      <w:r w:rsidRPr="00A818A8">
        <w:rPr>
          <w:sz w:val="22"/>
        </w:rPr>
        <w:t>pracovník</w:t>
      </w:r>
      <w:r>
        <w:rPr>
          <w:sz w:val="22"/>
        </w:rPr>
        <w:t>y</w:t>
      </w:r>
      <w:r w:rsidRPr="00A818A8">
        <w:rPr>
          <w:sz w:val="22"/>
        </w:rPr>
        <w:t xml:space="preserve"> nestátní neziskové organizacenad rámec obsahové</w:t>
      </w:r>
      <w:r>
        <w:rPr>
          <w:sz w:val="22"/>
        </w:rPr>
        <w:t>ho</w:t>
      </w:r>
      <w:r w:rsidRPr="00A818A8">
        <w:rPr>
          <w:sz w:val="22"/>
        </w:rPr>
        <w:t xml:space="preserve"> zaměření projektu.</w:t>
      </w:r>
      <w:r w:rsidRPr="00A818A8">
        <w:rPr>
          <w:color w:val="FF0000"/>
          <w:spacing w:val="-4"/>
          <w:sz w:val="22"/>
        </w:rPr>
        <w:t xml:space="preserve"> Nelze duplicitně použít mzdové prostředky z různých programů pro jednu osobu.</w:t>
      </w:r>
    </w:p>
    <w:p w:rsidR="00363427" w:rsidRPr="00A818A8" w:rsidRDefault="00363427" w:rsidP="006437F2">
      <w:pPr>
        <w:numPr>
          <w:ilvl w:val="0"/>
          <w:numId w:val="13"/>
        </w:numPr>
        <w:tabs>
          <w:tab w:val="clear" w:pos="783"/>
          <w:tab w:val="left" w:pos="0"/>
          <w:tab w:val="left" w:pos="142"/>
          <w:tab w:val="num" w:pos="284"/>
        </w:tabs>
        <w:spacing w:before="60" w:after="0"/>
        <w:ind w:left="284" w:hanging="284"/>
        <w:rPr>
          <w:sz w:val="22"/>
        </w:rPr>
      </w:pPr>
      <w:r w:rsidRPr="00A818A8">
        <w:rPr>
          <w:spacing w:val="-4"/>
          <w:sz w:val="22"/>
        </w:rPr>
        <w:t>reklamní a propagační činnost,</w:t>
      </w:r>
    </w:p>
    <w:p w:rsidR="00363427" w:rsidRPr="00A818A8" w:rsidRDefault="00363427" w:rsidP="006437F2">
      <w:pPr>
        <w:numPr>
          <w:ilvl w:val="0"/>
          <w:numId w:val="13"/>
        </w:numPr>
        <w:tabs>
          <w:tab w:val="clear" w:pos="783"/>
          <w:tab w:val="left" w:pos="0"/>
          <w:tab w:val="left" w:pos="142"/>
          <w:tab w:val="num" w:pos="284"/>
        </w:tabs>
        <w:spacing w:before="60" w:after="0"/>
        <w:ind w:left="284" w:hanging="284"/>
        <w:rPr>
          <w:sz w:val="22"/>
        </w:rPr>
      </w:pPr>
      <w:r w:rsidRPr="00A818A8">
        <w:rPr>
          <w:spacing w:val="-4"/>
          <w:sz w:val="22"/>
        </w:rPr>
        <w:t>duplicitní pojištění sportovců, resp. sport</w:t>
      </w:r>
      <w:r>
        <w:rPr>
          <w:spacing w:val="-4"/>
          <w:sz w:val="22"/>
        </w:rPr>
        <w:t>.</w:t>
      </w:r>
      <w:r w:rsidRPr="00A818A8">
        <w:rPr>
          <w:spacing w:val="-4"/>
          <w:sz w:val="22"/>
        </w:rPr>
        <w:t>zařízení, které je zajišťováno pojištěním ČOV – smluvní vztah s pojišťovnou Kooperativa (</w:t>
      </w:r>
      <w:r>
        <w:rPr>
          <w:spacing w:val="-4"/>
          <w:sz w:val="22"/>
        </w:rPr>
        <w:t xml:space="preserve">pouze </w:t>
      </w:r>
      <w:r w:rsidRPr="00A818A8">
        <w:rPr>
          <w:spacing w:val="-4"/>
          <w:sz w:val="22"/>
        </w:rPr>
        <w:t>sportovní svazy ČSTV),</w:t>
      </w:r>
    </w:p>
    <w:p w:rsidR="00363427" w:rsidRPr="00A818A8" w:rsidRDefault="00363427" w:rsidP="006437F2">
      <w:pPr>
        <w:pStyle w:val="Zkladntextodsazen31"/>
        <w:numPr>
          <w:ilvl w:val="0"/>
          <w:numId w:val="13"/>
        </w:numPr>
        <w:tabs>
          <w:tab w:val="clear" w:pos="426"/>
          <w:tab w:val="clear" w:pos="783"/>
          <w:tab w:val="num" w:pos="284"/>
        </w:tabs>
        <w:spacing w:before="60"/>
        <w:ind w:left="284" w:hanging="284"/>
        <w:rPr>
          <w:sz w:val="22"/>
        </w:rPr>
      </w:pPr>
      <w:r w:rsidRPr="00A818A8">
        <w:rPr>
          <w:sz w:val="22"/>
        </w:rPr>
        <w:t>úhradu výdajů údržby a provozu sport</w:t>
      </w:r>
      <w:r>
        <w:rPr>
          <w:sz w:val="22"/>
        </w:rPr>
        <w:t>.</w:t>
      </w:r>
      <w:r w:rsidRPr="00A818A8">
        <w:rPr>
          <w:sz w:val="22"/>
        </w:rPr>
        <w:t>zařízení, která jsou v nájmu NNO na dobu kratší než 10 let,</w:t>
      </w:r>
    </w:p>
    <w:p w:rsidR="00363427" w:rsidRPr="00A818A8" w:rsidRDefault="00363427" w:rsidP="006437F2">
      <w:pPr>
        <w:pStyle w:val="Zkladntextodsazen31"/>
        <w:numPr>
          <w:ilvl w:val="0"/>
          <w:numId w:val="13"/>
        </w:numPr>
        <w:tabs>
          <w:tab w:val="clear" w:pos="426"/>
          <w:tab w:val="clear" w:pos="783"/>
          <w:tab w:val="num" w:pos="284"/>
        </w:tabs>
        <w:spacing w:before="60"/>
        <w:ind w:left="284" w:hanging="284"/>
        <w:rPr>
          <w:sz w:val="22"/>
        </w:rPr>
      </w:pPr>
      <w:r w:rsidRPr="00A818A8">
        <w:rPr>
          <w:sz w:val="22"/>
        </w:rPr>
        <w:t>pořizování a opravu techniky, která nesouvisí s účelem programu (PC, mobilní telefony apod.), nad rámec organizačních povinností, s výjimkou zabezpeč</w:t>
      </w:r>
      <w:r>
        <w:rPr>
          <w:sz w:val="22"/>
        </w:rPr>
        <w:t>.</w:t>
      </w:r>
      <w:r w:rsidRPr="00A818A8">
        <w:rPr>
          <w:sz w:val="22"/>
        </w:rPr>
        <w:t>zařízení.</w:t>
      </w:r>
    </w:p>
    <w:p w:rsidR="00363427" w:rsidRDefault="00363427" w:rsidP="006437F2">
      <w:pPr>
        <w:tabs>
          <w:tab w:val="num" w:pos="284"/>
        </w:tabs>
        <w:spacing w:after="0"/>
        <w:ind w:left="284" w:hanging="284"/>
        <w:rPr>
          <w:b/>
          <w:color w:val="EEECE1"/>
          <w:sz w:val="28"/>
        </w:rPr>
        <w:sectPr w:rsidR="00363427" w:rsidSect="00C166F8">
          <w:type w:val="continuous"/>
          <w:pgSz w:w="11906" w:h="16838"/>
          <w:pgMar w:top="962" w:right="1417" w:bottom="1417" w:left="1417" w:header="284" w:footer="708" w:gutter="0"/>
          <w:cols w:num="2" w:sep="1" w:space="709"/>
          <w:docGrid w:linePitch="360"/>
        </w:sectPr>
      </w:pPr>
    </w:p>
    <w:p w:rsidR="00363427" w:rsidRDefault="00363427" w:rsidP="006437F2">
      <w:pPr>
        <w:tabs>
          <w:tab w:val="num" w:pos="284"/>
        </w:tabs>
        <w:spacing w:after="0"/>
        <w:ind w:left="284" w:hanging="284"/>
        <w:rPr>
          <w:b/>
          <w:color w:val="EEECE1"/>
          <w:sz w:val="28"/>
        </w:rPr>
      </w:pPr>
    </w:p>
    <w:p w:rsidR="00363427" w:rsidRDefault="00363427" w:rsidP="008466D2">
      <w:pPr>
        <w:spacing w:before="120"/>
        <w:rPr>
          <w:b/>
          <w:color w:val="0000FA"/>
          <w:u w:val="single"/>
        </w:rPr>
      </w:pPr>
      <w:r w:rsidRPr="00AA557B">
        <w:rPr>
          <w:b/>
        </w:rPr>
        <w:t>V Programu V – Organizace sportu</w:t>
      </w:r>
      <w:r>
        <w:t xml:space="preserve">- d o t a c e </w:t>
      </w:r>
      <w:r w:rsidRPr="00F36F58">
        <w:rPr>
          <w:b/>
          <w:color w:val="0000FA"/>
          <w:u w:val="single"/>
        </w:rPr>
        <w:t>může být použita na:</w:t>
      </w:r>
    </w:p>
    <w:p w:rsidR="00363427" w:rsidRPr="006437F2" w:rsidRDefault="00363427" w:rsidP="00D548C8">
      <w:pPr>
        <w:pStyle w:val="ListParagraph"/>
        <w:numPr>
          <w:ilvl w:val="0"/>
          <w:numId w:val="11"/>
        </w:numPr>
        <w:spacing w:before="120" w:after="0"/>
        <w:ind w:left="284" w:hanging="284"/>
        <w:contextualSpacing w:val="0"/>
        <w:rPr>
          <w:sz w:val="22"/>
        </w:rPr>
      </w:pPr>
      <w:r w:rsidRPr="00D548C8">
        <w:rPr>
          <w:sz w:val="22"/>
        </w:rPr>
        <w:t xml:space="preserve">Realizaci sportovní, organizační a obsahové činnosti, včetně zabezpečení zdravotních, metodických, technicko – servisních podmínek pro činnost sportovců </w:t>
      </w:r>
      <w:r w:rsidRPr="00D548C8">
        <w:rPr>
          <w:sz w:val="22"/>
          <w:szCs w:val="24"/>
        </w:rPr>
        <w:t>jednotlivých NNO s celorepublikovou působností, dle svých registrovaných stanov.</w:t>
      </w:r>
    </w:p>
    <w:p w:rsidR="00363427" w:rsidRPr="008466D2" w:rsidRDefault="00363427" w:rsidP="006437F2">
      <w:pPr>
        <w:pStyle w:val="Footer"/>
        <w:ind w:left="786"/>
        <w:rPr>
          <w:sz w:val="22"/>
        </w:rPr>
      </w:pPr>
    </w:p>
    <w:p w:rsidR="00363427" w:rsidRPr="008466D2" w:rsidRDefault="00363427" w:rsidP="006437F2">
      <w:pPr>
        <w:pStyle w:val="Footer"/>
        <w:ind w:left="786"/>
        <w:rPr>
          <w:sz w:val="22"/>
        </w:rPr>
      </w:pPr>
    </w:p>
    <w:p w:rsidR="00363427" w:rsidRDefault="00363427" w:rsidP="006437F2">
      <w:pPr>
        <w:pStyle w:val="Footer"/>
        <w:ind w:left="786"/>
        <w:rPr>
          <w:sz w:val="16"/>
        </w:rPr>
      </w:pPr>
    </w:p>
    <w:p w:rsidR="00363427" w:rsidRPr="006437F2" w:rsidRDefault="00363427" w:rsidP="006437F2">
      <w:pPr>
        <w:pStyle w:val="Footer"/>
        <w:pBdr>
          <w:top w:val="single" w:sz="4" w:space="1" w:color="auto"/>
        </w:pBdr>
        <w:rPr>
          <w:sz w:val="18"/>
        </w:rPr>
      </w:pPr>
      <w:r w:rsidRPr="006437F2">
        <w:rPr>
          <w:sz w:val="18"/>
        </w:rPr>
        <w:t>* Pohoštěním není společné stravování poskytované účastníkům sportovních akcí, soustředění a výcvikových táborů.</w:t>
      </w:r>
    </w:p>
    <w:p w:rsidR="00363427" w:rsidRPr="006437F2" w:rsidRDefault="00363427" w:rsidP="006437F2">
      <w:pPr>
        <w:spacing w:before="120" w:after="0"/>
        <w:rPr>
          <w:sz w:val="22"/>
        </w:rPr>
      </w:pPr>
    </w:p>
    <w:p w:rsidR="00363427" w:rsidRPr="00D548C8" w:rsidRDefault="00363427" w:rsidP="00D548C8">
      <w:pPr>
        <w:pStyle w:val="ListParagraph"/>
        <w:numPr>
          <w:ilvl w:val="0"/>
          <w:numId w:val="11"/>
        </w:numPr>
        <w:spacing w:before="120" w:after="0"/>
        <w:ind w:left="284" w:hanging="284"/>
        <w:contextualSpacing w:val="0"/>
        <w:rPr>
          <w:sz w:val="22"/>
        </w:rPr>
      </w:pPr>
      <w:r w:rsidRPr="00D548C8">
        <w:rPr>
          <w:sz w:val="22"/>
          <w:szCs w:val="24"/>
        </w:rPr>
        <w:t xml:space="preserve">Činnost ústředí, ale i nižších článků v organizační struktuře občanského sdružení, dle registrovaných stanov.  </w:t>
      </w:r>
    </w:p>
    <w:p w:rsidR="00363427" w:rsidRPr="00D548C8" w:rsidRDefault="00363427" w:rsidP="00D548C8">
      <w:pPr>
        <w:pStyle w:val="ListParagraph"/>
        <w:numPr>
          <w:ilvl w:val="0"/>
          <w:numId w:val="11"/>
        </w:numPr>
        <w:spacing w:before="120" w:after="0"/>
        <w:ind w:left="284" w:hanging="284"/>
        <w:contextualSpacing w:val="0"/>
        <w:rPr>
          <w:sz w:val="22"/>
          <w:u w:val="single"/>
        </w:rPr>
      </w:pPr>
      <w:r w:rsidRPr="00D548C8">
        <w:rPr>
          <w:sz w:val="22"/>
          <w:szCs w:val="24"/>
        </w:rPr>
        <w:t xml:space="preserve">Mzdové náklady, </w:t>
      </w:r>
      <w:r w:rsidRPr="00D548C8">
        <w:rPr>
          <w:sz w:val="22"/>
        </w:rPr>
        <w:t>včetně náhrady mezd a povinných odvodů příjemce, je možné čerpat</w:t>
      </w:r>
      <w:r w:rsidRPr="00D548C8">
        <w:rPr>
          <w:b/>
          <w:spacing w:val="-4"/>
          <w:sz w:val="22"/>
          <w:u w:val="single"/>
        </w:rPr>
        <w:t>až do výše rozpočtovaných nákladů</w:t>
      </w:r>
      <w:r w:rsidRPr="00D548C8">
        <w:rPr>
          <w:spacing w:val="-4"/>
          <w:sz w:val="22"/>
        </w:rPr>
        <w:t>schválené státní dotace.</w:t>
      </w:r>
    </w:p>
    <w:p w:rsidR="00363427" w:rsidRDefault="00363427" w:rsidP="00B04A27">
      <w:pPr>
        <w:spacing w:after="0"/>
        <w:rPr>
          <w:i/>
          <w:szCs w:val="24"/>
        </w:rPr>
      </w:pPr>
    </w:p>
    <w:p w:rsidR="00363427" w:rsidRDefault="00363427" w:rsidP="00B04A27">
      <w:pPr>
        <w:spacing w:after="0"/>
        <w:rPr>
          <w:i/>
          <w:szCs w:val="24"/>
        </w:rPr>
      </w:pPr>
    </w:p>
    <w:p w:rsidR="00363427" w:rsidRDefault="00363427" w:rsidP="00B04A27">
      <w:pPr>
        <w:spacing w:after="0"/>
        <w:rPr>
          <w:i/>
          <w:szCs w:val="24"/>
        </w:rPr>
        <w:sectPr w:rsidR="00363427" w:rsidSect="00A353C4">
          <w:type w:val="continuous"/>
          <w:pgSz w:w="11906" w:h="16838"/>
          <w:pgMar w:top="962" w:right="1417" w:bottom="1417" w:left="1417" w:header="284" w:footer="708" w:gutter="0"/>
          <w:cols w:space="708"/>
          <w:rtlGutter/>
          <w:docGrid w:linePitch="360"/>
        </w:sectPr>
      </w:pPr>
    </w:p>
    <w:p w:rsidR="00363427" w:rsidRDefault="00363427" w:rsidP="00B04A27">
      <w:pPr>
        <w:spacing w:after="0"/>
        <w:rPr>
          <w:i/>
          <w:szCs w:val="24"/>
          <w:u w:val="single"/>
        </w:rPr>
      </w:pPr>
      <w:r>
        <w:rPr>
          <w:i/>
          <w:szCs w:val="24"/>
          <w:u w:val="single"/>
        </w:rPr>
        <w:t>Obsahové činnosti</w:t>
      </w:r>
    </w:p>
    <w:p w:rsidR="00363427" w:rsidRPr="004F4E53" w:rsidRDefault="00363427" w:rsidP="0093425B">
      <w:pPr>
        <w:spacing w:after="0"/>
        <w:ind w:left="284" w:hanging="284"/>
        <w:rPr>
          <w:i/>
          <w:sz w:val="22"/>
          <w:szCs w:val="24"/>
        </w:rPr>
      </w:pPr>
      <w:r w:rsidRPr="004F4E53">
        <w:rPr>
          <w:i/>
          <w:sz w:val="22"/>
        </w:rPr>
        <w:t>a)</w:t>
      </w:r>
      <w:r w:rsidRPr="004F4E53">
        <w:rPr>
          <w:i/>
          <w:sz w:val="22"/>
        </w:rPr>
        <w:tab/>
        <w:t>doplnění podpory sportovní reprezentace, vč</w:t>
      </w:r>
      <w:r>
        <w:rPr>
          <w:i/>
          <w:sz w:val="22"/>
        </w:rPr>
        <w:t>etně</w:t>
      </w:r>
      <w:r w:rsidRPr="004F4E53">
        <w:rPr>
          <w:i/>
          <w:sz w:val="22"/>
        </w:rPr>
        <w:t xml:space="preserve"> pořádání a účasti domácích mistrovských a mezinárodních sportovních akcí</w:t>
      </w:r>
      <w:r w:rsidRPr="004F4E53">
        <w:rPr>
          <w:i/>
          <w:sz w:val="22"/>
          <w:szCs w:val="24"/>
        </w:rPr>
        <w:t xml:space="preserve">,dle reglementu soutěže, včetně kvalifikací a přípravných soustředění, </w:t>
      </w:r>
    </w:p>
    <w:p w:rsidR="00363427" w:rsidRPr="004F4E53" w:rsidRDefault="00363427" w:rsidP="00A818A8">
      <w:pPr>
        <w:tabs>
          <w:tab w:val="left" w:pos="284"/>
        </w:tabs>
        <w:spacing w:after="0"/>
        <w:ind w:left="284" w:hanging="284"/>
        <w:rPr>
          <w:i/>
          <w:sz w:val="22"/>
        </w:rPr>
      </w:pPr>
      <w:r>
        <w:rPr>
          <w:i/>
          <w:sz w:val="22"/>
        </w:rPr>
        <w:t>b)</w:t>
      </w:r>
      <w:r>
        <w:rPr>
          <w:i/>
          <w:sz w:val="22"/>
        </w:rPr>
        <w:tab/>
      </w:r>
      <w:r w:rsidRPr="004F4E53">
        <w:rPr>
          <w:i/>
          <w:sz w:val="22"/>
        </w:rPr>
        <w:t>doplnění podpory sportovně talentované mládeže, dle zásad Programu II,</w:t>
      </w:r>
    </w:p>
    <w:p w:rsidR="00363427" w:rsidRPr="004F4E53" w:rsidRDefault="00363427" w:rsidP="00A818A8">
      <w:pPr>
        <w:tabs>
          <w:tab w:val="left" w:pos="284"/>
        </w:tabs>
        <w:spacing w:after="0"/>
        <w:ind w:left="284" w:hanging="284"/>
        <w:rPr>
          <w:i/>
          <w:sz w:val="22"/>
        </w:rPr>
      </w:pPr>
      <w:r>
        <w:rPr>
          <w:i/>
          <w:sz w:val="22"/>
        </w:rPr>
        <w:t>c)</w:t>
      </w:r>
      <w:r>
        <w:rPr>
          <w:i/>
          <w:sz w:val="22"/>
        </w:rPr>
        <w:tab/>
      </w:r>
      <w:r w:rsidRPr="004F4E53">
        <w:rPr>
          <w:i/>
          <w:sz w:val="22"/>
        </w:rPr>
        <w:t>doplnění podpory všeobecné sportovní činnosti, dle zásad Programu III,</w:t>
      </w:r>
    </w:p>
    <w:p w:rsidR="00363427" w:rsidRPr="004F4E53" w:rsidRDefault="00363427" w:rsidP="00A818A8">
      <w:pPr>
        <w:tabs>
          <w:tab w:val="left" w:pos="284"/>
        </w:tabs>
        <w:spacing w:after="0"/>
        <w:ind w:left="284" w:hanging="284"/>
        <w:rPr>
          <w:i/>
          <w:sz w:val="22"/>
          <w:szCs w:val="24"/>
        </w:rPr>
      </w:pPr>
      <w:r w:rsidRPr="004F4E53">
        <w:rPr>
          <w:i/>
          <w:sz w:val="22"/>
        </w:rPr>
        <w:t>d)</w:t>
      </w:r>
      <w:r>
        <w:rPr>
          <w:i/>
          <w:sz w:val="22"/>
        </w:rPr>
        <w:tab/>
      </w:r>
      <w:r w:rsidRPr="004F4E53">
        <w:rPr>
          <w:i/>
          <w:sz w:val="22"/>
        </w:rPr>
        <w:t>doplnění podpory údržby a provozu sport</w:t>
      </w:r>
      <w:r>
        <w:rPr>
          <w:i/>
          <w:sz w:val="22"/>
        </w:rPr>
        <w:t>.</w:t>
      </w:r>
      <w:r w:rsidRPr="004F4E53">
        <w:rPr>
          <w:i/>
          <w:sz w:val="22"/>
        </w:rPr>
        <w:t xml:space="preserve">zařízení, dle zásad Programu IV.  </w:t>
      </w:r>
    </w:p>
    <w:p w:rsidR="00363427" w:rsidRDefault="00363427" w:rsidP="0093425B">
      <w:pPr>
        <w:spacing w:after="0"/>
        <w:rPr>
          <w:i/>
          <w:szCs w:val="24"/>
        </w:rPr>
      </w:pPr>
    </w:p>
    <w:p w:rsidR="00363427" w:rsidRDefault="00363427" w:rsidP="0093425B">
      <w:pPr>
        <w:spacing w:after="0"/>
        <w:rPr>
          <w:i/>
          <w:szCs w:val="24"/>
          <w:u w:val="single"/>
        </w:rPr>
      </w:pPr>
      <w:r>
        <w:rPr>
          <w:i/>
          <w:szCs w:val="24"/>
          <w:u w:val="single"/>
        </w:rPr>
        <w:t>Organizační zajištění</w:t>
      </w:r>
    </w:p>
    <w:p w:rsidR="00363427" w:rsidRPr="004F4E53" w:rsidRDefault="00363427" w:rsidP="0093425B">
      <w:pPr>
        <w:pStyle w:val="BodyTextIndent"/>
        <w:ind w:left="284" w:hanging="284"/>
        <w:rPr>
          <w:i/>
          <w:sz w:val="22"/>
        </w:rPr>
      </w:pPr>
      <w:r w:rsidRPr="004F4E53">
        <w:rPr>
          <w:i/>
          <w:sz w:val="22"/>
        </w:rPr>
        <w:t>a) náklady na trenérské, zdravotní, metodické</w:t>
      </w:r>
      <w:r>
        <w:rPr>
          <w:i/>
          <w:sz w:val="22"/>
        </w:rPr>
        <w:t>,</w:t>
      </w:r>
      <w:r w:rsidRPr="004F4E53">
        <w:rPr>
          <w:i/>
          <w:sz w:val="22"/>
        </w:rPr>
        <w:t xml:space="preserve"> technické</w:t>
      </w:r>
      <w:r>
        <w:rPr>
          <w:i/>
          <w:sz w:val="22"/>
        </w:rPr>
        <w:t xml:space="preserve"> a</w:t>
      </w:r>
      <w:r w:rsidRPr="004F4E53">
        <w:rPr>
          <w:i/>
          <w:sz w:val="22"/>
        </w:rPr>
        <w:t xml:space="preserve"> servisní zabezpečení, regeneraci, lékařskou službu, vybavení sportovními potřebami neinvestičního charakteru, nájemné prostor pro zabezpečení sportovní přípravy,</w:t>
      </w:r>
    </w:p>
    <w:p w:rsidR="00363427" w:rsidRPr="004F4E53" w:rsidRDefault="00363427" w:rsidP="0093425B">
      <w:pPr>
        <w:spacing w:after="0"/>
        <w:ind w:left="284" w:hanging="284"/>
        <w:rPr>
          <w:i/>
          <w:sz w:val="22"/>
        </w:rPr>
      </w:pPr>
      <w:r w:rsidRPr="004F4E53">
        <w:rPr>
          <w:i/>
          <w:sz w:val="22"/>
        </w:rPr>
        <w:t xml:space="preserve">b) náklady na dopravu, ubytování, stravování, pojištění odpovědnosti, standardní úrazové pojištění, včetně pojištění sportovního materiálu a odměn delegovaných rozhodčích, technického doprovodu, organizátorů a sportovců, dle reglementu soutěže, </w:t>
      </w:r>
    </w:p>
    <w:p w:rsidR="00363427" w:rsidRPr="004F4E53" w:rsidRDefault="00363427" w:rsidP="0093425B">
      <w:pPr>
        <w:tabs>
          <w:tab w:val="left" w:pos="1134"/>
        </w:tabs>
        <w:spacing w:after="0"/>
        <w:ind w:left="284" w:hanging="284"/>
        <w:rPr>
          <w:i/>
          <w:sz w:val="22"/>
        </w:rPr>
      </w:pPr>
      <w:r w:rsidRPr="004F4E53">
        <w:rPr>
          <w:i/>
          <w:sz w:val="22"/>
        </w:rPr>
        <w:t xml:space="preserve">c) mzdové náklady, včetně povinných odvodů, na organizaci sportovního občanského sdružení zajišťující činnosti vymezenou svými stanovami, </w:t>
      </w:r>
    </w:p>
    <w:p w:rsidR="00363427" w:rsidRDefault="00363427" w:rsidP="00A818A8">
      <w:pPr>
        <w:tabs>
          <w:tab w:val="left" w:pos="284"/>
        </w:tabs>
        <w:spacing w:after="0"/>
        <w:ind w:left="284" w:hanging="284"/>
        <w:rPr>
          <w:i/>
          <w:sz w:val="22"/>
        </w:rPr>
      </w:pPr>
      <w:r w:rsidRPr="004F4E53">
        <w:rPr>
          <w:i/>
          <w:sz w:val="22"/>
        </w:rPr>
        <w:t>d)</w:t>
      </w:r>
      <w:r>
        <w:rPr>
          <w:i/>
          <w:sz w:val="22"/>
        </w:rPr>
        <w:tab/>
      </w:r>
      <w:r w:rsidRPr="004F4E53">
        <w:rPr>
          <w:i/>
          <w:sz w:val="22"/>
        </w:rPr>
        <w:t>zabezpečení povinného poplatku</w:t>
      </w:r>
      <w:r>
        <w:rPr>
          <w:i/>
          <w:sz w:val="22"/>
        </w:rPr>
        <w:t xml:space="preserve"> za členství, za</w:t>
      </w:r>
      <w:r w:rsidRPr="004F4E53">
        <w:rPr>
          <w:i/>
          <w:sz w:val="22"/>
        </w:rPr>
        <w:t xml:space="preserve"> organiz</w:t>
      </w:r>
      <w:r>
        <w:rPr>
          <w:i/>
          <w:sz w:val="22"/>
        </w:rPr>
        <w:t xml:space="preserve">aci </w:t>
      </w:r>
      <w:r w:rsidRPr="004F4E53">
        <w:rPr>
          <w:i/>
          <w:sz w:val="22"/>
        </w:rPr>
        <w:t>akce pro Mezinárodní světovou nebo Evropskou</w:t>
      </w:r>
      <w:r>
        <w:rPr>
          <w:i/>
          <w:sz w:val="22"/>
        </w:rPr>
        <w:t xml:space="preserve"> sportovní</w:t>
      </w:r>
      <w:r w:rsidRPr="004F4E53">
        <w:rPr>
          <w:i/>
          <w:sz w:val="22"/>
        </w:rPr>
        <w:t xml:space="preserve"> federaci</w:t>
      </w:r>
      <w:r>
        <w:rPr>
          <w:i/>
          <w:sz w:val="22"/>
        </w:rPr>
        <w:t xml:space="preserve"> (MSF),</w:t>
      </w:r>
    </w:p>
    <w:p w:rsidR="00363427" w:rsidRPr="004F4E53" w:rsidRDefault="00363427" w:rsidP="008466D2">
      <w:pPr>
        <w:tabs>
          <w:tab w:val="left" w:pos="284"/>
        </w:tabs>
        <w:spacing w:after="0"/>
        <w:ind w:left="284" w:hanging="284"/>
        <w:rPr>
          <w:i/>
          <w:sz w:val="22"/>
        </w:rPr>
      </w:pPr>
      <w:r>
        <w:rPr>
          <w:i/>
          <w:sz w:val="22"/>
        </w:rPr>
        <w:t>e)</w:t>
      </w:r>
      <w:r>
        <w:rPr>
          <w:i/>
          <w:sz w:val="22"/>
        </w:rPr>
        <w:tab/>
        <w:t>nezbytné náklady spojené s účastí na kongresech</w:t>
      </w:r>
      <w:r w:rsidRPr="004F4E53">
        <w:rPr>
          <w:i/>
          <w:sz w:val="22"/>
        </w:rPr>
        <w:t xml:space="preserve"> M</w:t>
      </w:r>
      <w:r>
        <w:rPr>
          <w:i/>
          <w:sz w:val="22"/>
        </w:rPr>
        <w:t>SF</w:t>
      </w:r>
      <w:r w:rsidRPr="004F4E53">
        <w:rPr>
          <w:i/>
          <w:sz w:val="22"/>
        </w:rPr>
        <w:t>,</w:t>
      </w:r>
    </w:p>
    <w:p w:rsidR="00363427" w:rsidRPr="004F4E53" w:rsidRDefault="00363427" w:rsidP="0093425B">
      <w:pPr>
        <w:spacing w:after="0"/>
        <w:ind w:left="284" w:hanging="284"/>
        <w:rPr>
          <w:i/>
          <w:sz w:val="22"/>
        </w:rPr>
      </w:pPr>
      <w:r>
        <w:rPr>
          <w:i/>
          <w:sz w:val="22"/>
        </w:rPr>
        <w:t>f</w:t>
      </w:r>
      <w:r w:rsidRPr="004F4E53">
        <w:rPr>
          <w:i/>
          <w:sz w:val="22"/>
        </w:rPr>
        <w:t xml:space="preserve">) členský poplatek zastřešujícímu občanskému sdružení. </w:t>
      </w:r>
    </w:p>
    <w:p w:rsidR="00363427" w:rsidRPr="004F4E53" w:rsidRDefault="00363427" w:rsidP="00B53772">
      <w:pPr>
        <w:spacing w:after="0"/>
        <w:ind w:left="284" w:hanging="284"/>
        <w:rPr>
          <w:i/>
          <w:sz w:val="22"/>
        </w:rPr>
      </w:pPr>
    </w:p>
    <w:p w:rsidR="00363427" w:rsidRPr="008466D2" w:rsidRDefault="00363427" w:rsidP="00B53772">
      <w:pPr>
        <w:spacing w:after="0"/>
        <w:rPr>
          <w:i/>
          <w:szCs w:val="24"/>
          <w:u w:val="single"/>
        </w:rPr>
      </w:pPr>
      <w:r w:rsidRPr="008466D2">
        <w:rPr>
          <w:i/>
          <w:szCs w:val="24"/>
          <w:u w:val="single"/>
        </w:rPr>
        <w:t>Ostatní</w:t>
      </w:r>
    </w:p>
    <w:p w:rsidR="00363427" w:rsidRPr="004F4E53" w:rsidRDefault="00363427" w:rsidP="00A818A8">
      <w:pPr>
        <w:spacing w:after="0"/>
        <w:ind w:left="284" w:hanging="284"/>
        <w:rPr>
          <w:i/>
          <w:sz w:val="22"/>
        </w:rPr>
      </w:pPr>
      <w:r>
        <w:rPr>
          <w:i/>
          <w:sz w:val="22"/>
        </w:rPr>
        <w:t xml:space="preserve">a) </w:t>
      </w:r>
      <w:r w:rsidRPr="004F4E53">
        <w:rPr>
          <w:i/>
          <w:sz w:val="22"/>
        </w:rPr>
        <w:t xml:space="preserve">odměny sportovcům ČR, resp. věcné ceny za sportovní výsledky, jejichž součet </w:t>
      </w:r>
      <w:r w:rsidRPr="004F4E53">
        <w:rPr>
          <w:b/>
          <w:i/>
          <w:color w:val="FF0000"/>
          <w:sz w:val="22"/>
        </w:rPr>
        <w:t>nesmí přesáhnout výši 10% celkového objemu dotace</w:t>
      </w:r>
      <w:r w:rsidRPr="008466D2">
        <w:rPr>
          <w:i/>
          <w:sz w:val="22"/>
        </w:rPr>
        <w:t>,</w:t>
      </w:r>
      <w:r>
        <w:rPr>
          <w:i/>
          <w:sz w:val="22"/>
          <w:vertAlign w:val="superscript"/>
        </w:rPr>
        <w:t>*</w:t>
      </w:r>
    </w:p>
    <w:p w:rsidR="00363427" w:rsidRPr="00B53772" w:rsidRDefault="00363427" w:rsidP="00A818A8">
      <w:pPr>
        <w:tabs>
          <w:tab w:val="left" w:pos="284"/>
        </w:tabs>
        <w:spacing w:after="0"/>
        <w:ind w:left="284" w:hanging="284"/>
        <w:rPr>
          <w:i/>
          <w:szCs w:val="24"/>
        </w:rPr>
      </w:pPr>
      <w:r>
        <w:rPr>
          <w:i/>
          <w:sz w:val="22"/>
        </w:rPr>
        <w:t>b)</w:t>
      </w:r>
      <w:r>
        <w:rPr>
          <w:i/>
          <w:sz w:val="22"/>
        </w:rPr>
        <w:tab/>
        <w:t xml:space="preserve">zabezpečení celkového poplatku pro OSA, Intergram atd. </w:t>
      </w:r>
    </w:p>
    <w:p w:rsidR="00363427" w:rsidRDefault="00363427" w:rsidP="00B04A27">
      <w:pPr>
        <w:spacing w:after="0"/>
        <w:rPr>
          <w:b/>
          <w:sz w:val="28"/>
        </w:rPr>
        <w:sectPr w:rsidR="00363427" w:rsidSect="00C166F8">
          <w:type w:val="continuous"/>
          <w:pgSz w:w="11906" w:h="16838"/>
          <w:pgMar w:top="1417" w:right="1417" w:bottom="1417" w:left="1417" w:header="284" w:footer="708" w:gutter="0"/>
          <w:cols w:num="2" w:sep="1" w:space="709"/>
          <w:docGrid w:linePitch="360"/>
        </w:sectPr>
      </w:pPr>
    </w:p>
    <w:p w:rsidR="00363427" w:rsidRDefault="00363427" w:rsidP="00B04A27">
      <w:pPr>
        <w:spacing w:after="0"/>
        <w:rPr>
          <w:b/>
          <w:sz w:val="28"/>
        </w:rPr>
      </w:pPr>
    </w:p>
    <w:p w:rsidR="00363427" w:rsidRDefault="00363427" w:rsidP="00B04A27">
      <w:pPr>
        <w:spacing w:after="0"/>
        <w:rPr>
          <w:b/>
          <w:sz w:val="28"/>
        </w:rPr>
        <w:sectPr w:rsidR="00363427" w:rsidSect="00D907F6">
          <w:type w:val="continuous"/>
          <w:pgSz w:w="11906" w:h="16838"/>
          <w:pgMar w:top="1417" w:right="1417" w:bottom="1417" w:left="1417" w:header="284" w:footer="708" w:gutter="0"/>
          <w:cols w:num="2" w:space="708"/>
          <w:docGrid w:linePitch="360"/>
        </w:sectPr>
      </w:pPr>
    </w:p>
    <w:p w:rsidR="00363427" w:rsidRDefault="00363427" w:rsidP="00D907F6">
      <w:pPr>
        <w:spacing w:after="0"/>
        <w:rPr>
          <w:b/>
          <w:sz w:val="28"/>
        </w:rPr>
      </w:pPr>
    </w:p>
    <w:p w:rsidR="00363427" w:rsidRDefault="00363427" w:rsidP="00D907F6">
      <w:pPr>
        <w:spacing w:after="0"/>
        <w:jc w:val="left"/>
        <w:rPr>
          <w:b/>
          <w:sz w:val="28"/>
        </w:rPr>
      </w:pPr>
    </w:p>
    <w:p w:rsidR="00363427" w:rsidRPr="00205EFB" w:rsidRDefault="00363427" w:rsidP="00205EFB">
      <w:pPr>
        <w:spacing w:after="0"/>
        <w:rPr>
          <w:b/>
          <w:color w:val="EEECE1"/>
          <w:sz w:val="28"/>
        </w:rPr>
      </w:pPr>
      <w:r w:rsidRPr="00445BE5">
        <w:rPr>
          <w:b/>
          <w:color w:val="EEECE1"/>
          <w:sz w:val="28"/>
        </w:rPr>
        <w:t xml:space="preserve">Program V – </w:t>
      </w:r>
      <w:r>
        <w:rPr>
          <w:b/>
          <w:color w:val="EEECE1"/>
          <w:sz w:val="28"/>
        </w:rPr>
        <w:t xml:space="preserve">dotazy - </w:t>
      </w:r>
      <w:r w:rsidRPr="00445BE5">
        <w:rPr>
          <w:b/>
          <w:color w:val="EEECE1"/>
          <w:sz w:val="28"/>
        </w:rPr>
        <w:t>vysvětlení:</w:t>
      </w:r>
    </w:p>
    <w:p w:rsidR="00363427" w:rsidRDefault="00363427" w:rsidP="00205EFB">
      <w:pPr>
        <w:spacing w:after="0"/>
        <w:rPr>
          <w:b/>
          <w:sz w:val="28"/>
        </w:rPr>
      </w:pPr>
    </w:p>
    <w:p w:rsidR="00363427" w:rsidRPr="00A72F83" w:rsidRDefault="00363427" w:rsidP="00205EFB">
      <w:pPr>
        <w:pStyle w:val="ListParagraph"/>
        <w:numPr>
          <w:ilvl w:val="0"/>
          <w:numId w:val="4"/>
        </w:numPr>
        <w:tabs>
          <w:tab w:val="left" w:pos="6804"/>
        </w:tabs>
        <w:spacing w:before="120" w:after="0"/>
        <w:ind w:left="567" w:right="-15" w:hanging="567"/>
        <w:rPr>
          <w:rFonts w:ascii="Cambria" w:hAnsi="Cambria"/>
          <w:b/>
          <w:iCs/>
          <w:color w:val="595959"/>
        </w:rPr>
      </w:pPr>
      <w:r w:rsidRPr="00A72F83">
        <w:rPr>
          <w:b/>
        </w:rPr>
        <w:t xml:space="preserve">Dotaz: </w:t>
      </w:r>
      <w:r>
        <w:rPr>
          <w:b/>
        </w:rPr>
        <w:t>Do jaké výše je možné čerpat mzdové prostředky?</w:t>
      </w:r>
    </w:p>
    <w:p w:rsidR="00363427" w:rsidRPr="003F58FB" w:rsidRDefault="00363427" w:rsidP="00205EFB">
      <w:pPr>
        <w:tabs>
          <w:tab w:val="left" w:pos="6804"/>
        </w:tabs>
        <w:spacing w:before="60" w:after="0"/>
        <w:ind w:left="1560" w:right="-15" w:hanging="993"/>
        <w:rPr>
          <w:rFonts w:ascii="Cambria" w:hAnsi="Cambria"/>
          <w:i/>
          <w:iCs/>
          <w:color w:val="0000FA"/>
          <w:sz w:val="22"/>
        </w:rPr>
      </w:pPr>
      <w:r w:rsidRPr="003F58FB">
        <w:rPr>
          <w:rFonts w:ascii="Cambria" w:hAnsi="Cambria"/>
          <w:i/>
          <w:iCs/>
          <w:color w:val="0000FA"/>
          <w:sz w:val="22"/>
        </w:rPr>
        <w:t xml:space="preserve">Odpověď: </w:t>
      </w:r>
      <w:r>
        <w:rPr>
          <w:rFonts w:ascii="Cambria" w:hAnsi="Cambria"/>
          <w:i/>
          <w:iCs/>
          <w:color w:val="0000FA"/>
          <w:sz w:val="22"/>
        </w:rPr>
        <w:t xml:space="preserve"> Až do výše rozpočtovaných nákladů, tj. až do výše 100%. </w:t>
      </w:r>
    </w:p>
    <w:p w:rsidR="00363427" w:rsidRPr="003F58FB" w:rsidRDefault="00363427" w:rsidP="00205EFB">
      <w:pPr>
        <w:tabs>
          <w:tab w:val="left" w:pos="6804"/>
        </w:tabs>
        <w:spacing w:before="60" w:after="0"/>
        <w:ind w:left="2410" w:right="-15" w:hanging="1843"/>
        <w:rPr>
          <w:rFonts w:ascii="Cambria" w:hAnsi="Cambria"/>
          <w:i/>
          <w:iCs/>
          <w:color w:val="595959"/>
          <w:sz w:val="22"/>
        </w:rPr>
      </w:pPr>
      <w:r w:rsidRPr="00860ADC">
        <w:rPr>
          <w:rFonts w:ascii="Cambria" w:hAnsi="Cambria"/>
          <w:i/>
          <w:iCs/>
          <w:sz w:val="22"/>
          <w:u w:val="single"/>
        </w:rPr>
        <w:t>Důvod:</w:t>
      </w:r>
      <w:r w:rsidRPr="00264764">
        <w:rPr>
          <w:rFonts w:ascii="Cambria" w:hAnsi="Cambria"/>
          <w:i/>
          <w:iCs/>
          <w:sz w:val="22"/>
        </w:rPr>
        <w:t>Obdoba</w:t>
      </w:r>
      <w:r>
        <w:rPr>
          <w:rFonts w:ascii="Cambria" w:hAnsi="Cambria"/>
          <w:i/>
          <w:iCs/>
          <w:color w:val="595959"/>
          <w:sz w:val="22"/>
        </w:rPr>
        <w:t xml:space="preserve"> podpory poskytované v minulých letech prostřednictvím Ministerstva financí (tzv. Kalouskovné).</w:t>
      </w:r>
    </w:p>
    <w:p w:rsidR="00363427" w:rsidRDefault="00363427" w:rsidP="00205EFB">
      <w:pPr>
        <w:tabs>
          <w:tab w:val="left" w:pos="6804"/>
        </w:tabs>
        <w:spacing w:before="60" w:after="0"/>
        <w:ind w:left="2410" w:right="-15"/>
        <w:rPr>
          <w:rFonts w:ascii="Cambria" w:hAnsi="Cambria"/>
          <w:i/>
          <w:iCs/>
          <w:color w:val="595959"/>
          <w:sz w:val="22"/>
        </w:rPr>
      </w:pPr>
      <w:r w:rsidRPr="00860ADC">
        <w:rPr>
          <w:rFonts w:ascii="Cambria" w:hAnsi="Cambria"/>
          <w:i/>
          <w:iCs/>
          <w:sz w:val="22"/>
          <w:u w:val="single"/>
        </w:rPr>
        <w:t>Upozornění:</w:t>
      </w:r>
      <w:r w:rsidRPr="003F58FB">
        <w:rPr>
          <w:rFonts w:ascii="Cambria" w:hAnsi="Cambria"/>
          <w:i/>
          <w:iCs/>
          <w:color w:val="595959"/>
          <w:sz w:val="22"/>
        </w:rPr>
        <w:t xml:space="preserve">Tento postup </w:t>
      </w:r>
      <w:r>
        <w:rPr>
          <w:rFonts w:ascii="Cambria" w:hAnsi="Cambria"/>
          <w:i/>
          <w:iCs/>
          <w:color w:val="595959"/>
          <w:sz w:val="22"/>
        </w:rPr>
        <w:t>je součástí přesnějšího doplňku „Rozhodnutí“</w:t>
      </w:r>
      <w:r w:rsidRPr="003F58FB">
        <w:rPr>
          <w:rFonts w:ascii="Cambria" w:hAnsi="Cambria"/>
          <w:i/>
          <w:iCs/>
          <w:color w:val="595959"/>
          <w:sz w:val="22"/>
        </w:rPr>
        <w:t>.</w:t>
      </w:r>
    </w:p>
    <w:p w:rsidR="00363427" w:rsidRDefault="00363427" w:rsidP="00205EFB">
      <w:pPr>
        <w:tabs>
          <w:tab w:val="left" w:pos="6804"/>
        </w:tabs>
        <w:spacing w:before="60" w:after="0"/>
        <w:ind w:left="2410" w:right="-15"/>
        <w:rPr>
          <w:rFonts w:ascii="Cambria" w:hAnsi="Cambria"/>
          <w:i/>
          <w:iCs/>
          <w:color w:val="595959"/>
          <w:sz w:val="22"/>
        </w:rPr>
      </w:pPr>
    </w:p>
    <w:p w:rsidR="00363427" w:rsidRPr="006963F5" w:rsidRDefault="00363427" w:rsidP="00A07756">
      <w:pPr>
        <w:pStyle w:val="ListParagraph"/>
        <w:numPr>
          <w:ilvl w:val="0"/>
          <w:numId w:val="4"/>
        </w:numPr>
        <w:tabs>
          <w:tab w:val="left" w:pos="6804"/>
        </w:tabs>
        <w:spacing w:after="0"/>
        <w:ind w:left="567" w:right="-15" w:hanging="567"/>
        <w:rPr>
          <w:rFonts w:ascii="Cambria" w:hAnsi="Cambria"/>
          <w:iCs/>
          <w:color w:val="595959"/>
          <w:sz w:val="22"/>
        </w:rPr>
      </w:pPr>
      <w:r>
        <w:rPr>
          <w:b/>
        </w:rPr>
        <w:t>Dotaz: Je možné platit z dotace bankovní poplatky?</w:t>
      </w:r>
    </w:p>
    <w:p w:rsidR="00363427" w:rsidRPr="006963F5" w:rsidRDefault="00363427" w:rsidP="00A07756">
      <w:pPr>
        <w:tabs>
          <w:tab w:val="left" w:pos="6804"/>
        </w:tabs>
        <w:spacing w:before="60" w:after="0"/>
        <w:ind w:left="1560" w:right="-15" w:hanging="993"/>
        <w:rPr>
          <w:rFonts w:ascii="Cambria" w:hAnsi="Cambria"/>
          <w:i/>
          <w:iCs/>
          <w:color w:val="0000FA"/>
          <w:sz w:val="22"/>
        </w:rPr>
      </w:pPr>
      <w:r w:rsidRPr="006963F5">
        <w:rPr>
          <w:rFonts w:ascii="Cambria" w:hAnsi="Cambria"/>
          <w:i/>
          <w:iCs/>
          <w:color w:val="0000FA"/>
          <w:sz w:val="22"/>
        </w:rPr>
        <w:t xml:space="preserve">Odpověď: </w:t>
      </w:r>
      <w:r>
        <w:rPr>
          <w:rFonts w:ascii="Cambria" w:hAnsi="Cambria"/>
          <w:i/>
          <w:iCs/>
          <w:color w:val="0000FA"/>
          <w:sz w:val="22"/>
        </w:rPr>
        <w:t xml:space="preserve">Nelze. </w:t>
      </w:r>
    </w:p>
    <w:p w:rsidR="00363427" w:rsidRDefault="00363427" w:rsidP="00A07756">
      <w:pPr>
        <w:tabs>
          <w:tab w:val="left" w:pos="6804"/>
        </w:tabs>
        <w:spacing w:before="60" w:after="0"/>
        <w:ind w:left="2410" w:right="-15" w:hanging="850"/>
        <w:rPr>
          <w:rFonts w:ascii="Cambria" w:hAnsi="Cambria"/>
          <w:i/>
          <w:iCs/>
          <w:color w:val="595959"/>
          <w:sz w:val="22"/>
        </w:rPr>
      </w:pPr>
      <w:r w:rsidRPr="00814873">
        <w:rPr>
          <w:rFonts w:ascii="Cambria" w:hAnsi="Cambria"/>
          <w:i/>
          <w:iCs/>
          <w:sz w:val="22"/>
          <w:u w:val="single"/>
        </w:rPr>
        <w:t>Důvod:</w:t>
      </w:r>
      <w:r>
        <w:rPr>
          <w:rFonts w:ascii="Cambria" w:hAnsi="Cambria"/>
          <w:i/>
          <w:iCs/>
          <w:color w:val="595959"/>
          <w:sz w:val="22"/>
        </w:rPr>
        <w:t>Náklady, které přímo nesouvisí s vymezením programu, je nutné hradit z vlastních zdrojů (členské příspěvky, sponzorské prostředky atd.)</w:t>
      </w:r>
    </w:p>
    <w:p w:rsidR="00363427" w:rsidRPr="00A07756" w:rsidRDefault="00363427" w:rsidP="00205EFB">
      <w:pPr>
        <w:tabs>
          <w:tab w:val="left" w:pos="6804"/>
        </w:tabs>
        <w:spacing w:before="60" w:after="0"/>
        <w:ind w:left="2410" w:right="-15"/>
        <w:rPr>
          <w:rFonts w:ascii="Cambria" w:hAnsi="Cambria"/>
          <w:i/>
          <w:iCs/>
          <w:color w:val="595959"/>
          <w:sz w:val="22"/>
        </w:rPr>
      </w:pPr>
      <w:r w:rsidRPr="00860ADC">
        <w:rPr>
          <w:rFonts w:ascii="Cambria" w:hAnsi="Cambria"/>
          <w:i/>
          <w:iCs/>
          <w:sz w:val="22"/>
          <w:u w:val="single"/>
        </w:rPr>
        <w:t>Upozornění:</w:t>
      </w:r>
      <w:r w:rsidRPr="00A07756">
        <w:rPr>
          <w:rFonts w:ascii="Cambria" w:hAnsi="Cambria"/>
          <w:i/>
          <w:iCs/>
          <w:color w:val="595959"/>
          <w:sz w:val="22"/>
        </w:rPr>
        <w:t xml:space="preserve">Vymezení co lze nebo nelze je vymezeno doplňkem k Rozhodnutí.  </w:t>
      </w:r>
    </w:p>
    <w:p w:rsidR="00363427" w:rsidRDefault="00363427" w:rsidP="00A07756">
      <w:pPr>
        <w:spacing w:after="0"/>
        <w:jc w:val="left"/>
        <w:rPr>
          <w:b/>
          <w:sz w:val="28"/>
        </w:rPr>
      </w:pPr>
    </w:p>
    <w:p w:rsidR="00363427" w:rsidRDefault="00363427" w:rsidP="00A07756">
      <w:pPr>
        <w:pStyle w:val="FootnoteText"/>
        <w:pBdr>
          <w:top w:val="single" w:sz="4" w:space="1" w:color="auto"/>
        </w:pBdr>
      </w:pPr>
      <w:r>
        <w:rPr>
          <w:rStyle w:val="FootnoteReference"/>
        </w:rPr>
        <w:t>*</w:t>
      </w:r>
      <w:r>
        <w:rPr>
          <w:sz w:val="16"/>
        </w:rPr>
        <w:t xml:space="preserve"> o výjimku NNO  žádá MŠMT v mimořádné situaci s uvedením důvodu.</w:t>
      </w:r>
    </w:p>
    <w:p w:rsidR="00363427" w:rsidRDefault="00363427" w:rsidP="00A07756">
      <w:pPr>
        <w:spacing w:after="0"/>
        <w:rPr>
          <w:b/>
          <w:sz w:val="28"/>
        </w:rPr>
      </w:pPr>
    </w:p>
    <w:p w:rsidR="00363427" w:rsidRPr="00A72F83" w:rsidRDefault="00363427" w:rsidP="00205EFB">
      <w:pPr>
        <w:pStyle w:val="ListParagraph"/>
        <w:numPr>
          <w:ilvl w:val="0"/>
          <w:numId w:val="4"/>
        </w:numPr>
        <w:tabs>
          <w:tab w:val="left" w:pos="6804"/>
        </w:tabs>
        <w:spacing w:after="0"/>
        <w:ind w:left="567" w:right="-15" w:hanging="567"/>
        <w:rPr>
          <w:rFonts w:ascii="Cambria" w:hAnsi="Cambria"/>
          <w:b/>
          <w:iCs/>
          <w:color w:val="595959"/>
        </w:rPr>
      </w:pPr>
      <w:r w:rsidRPr="00A72F83">
        <w:rPr>
          <w:b/>
        </w:rPr>
        <w:t>Dotaz: J</w:t>
      </w:r>
      <w:r>
        <w:rPr>
          <w:b/>
        </w:rPr>
        <w:t>ak čerpat přidělené prostředky, které nikdy neměl svaz k dispozici?</w:t>
      </w:r>
    </w:p>
    <w:p w:rsidR="00363427" w:rsidRPr="003F58FB" w:rsidRDefault="00363427" w:rsidP="00205EFB">
      <w:pPr>
        <w:tabs>
          <w:tab w:val="left" w:pos="6804"/>
        </w:tabs>
        <w:spacing w:before="60" w:after="0"/>
        <w:ind w:left="1560" w:right="-15" w:hanging="993"/>
        <w:rPr>
          <w:rFonts w:ascii="Cambria" w:hAnsi="Cambria"/>
          <w:i/>
          <w:iCs/>
          <w:color w:val="0000FA"/>
          <w:sz w:val="22"/>
        </w:rPr>
      </w:pPr>
      <w:r w:rsidRPr="003F58FB">
        <w:rPr>
          <w:rFonts w:ascii="Cambria" w:hAnsi="Cambria"/>
          <w:i/>
          <w:iCs/>
          <w:color w:val="0000FA"/>
          <w:sz w:val="22"/>
        </w:rPr>
        <w:t xml:space="preserve">Odpověď: Pro rok 2012 </w:t>
      </w:r>
      <w:r>
        <w:rPr>
          <w:rFonts w:ascii="Cambria" w:hAnsi="Cambria"/>
          <w:i/>
          <w:iCs/>
          <w:color w:val="0000FA"/>
          <w:sz w:val="22"/>
        </w:rPr>
        <w:t>došlo k navýšení finančního objemu o 800 mil. Kč. Tato částka vyvažuje ztrátu prostředků ze zisku Sazka, a.s.. To ale také znamená, že se jedná o podporu sportovního svazu v celé jeho organizační struktuře, takže i pro nižší územní články až na sportovní kluby nebo sportovní oddíly u TJ.</w:t>
      </w:r>
    </w:p>
    <w:p w:rsidR="00363427" w:rsidRPr="003F58FB" w:rsidRDefault="00363427" w:rsidP="00205EFB">
      <w:pPr>
        <w:tabs>
          <w:tab w:val="left" w:pos="6804"/>
        </w:tabs>
        <w:spacing w:before="60" w:after="0"/>
        <w:ind w:left="1560" w:right="-15"/>
        <w:rPr>
          <w:rFonts w:ascii="Cambria" w:hAnsi="Cambria"/>
          <w:i/>
          <w:iCs/>
          <w:color w:val="595959"/>
          <w:sz w:val="22"/>
        </w:rPr>
      </w:pPr>
      <w:r w:rsidRPr="00860ADC">
        <w:rPr>
          <w:rFonts w:ascii="Cambria" w:hAnsi="Cambria"/>
          <w:i/>
          <w:iCs/>
          <w:sz w:val="22"/>
          <w:u w:val="single"/>
        </w:rPr>
        <w:t>Upozornění:</w:t>
      </w:r>
      <w:r w:rsidRPr="003F58FB">
        <w:rPr>
          <w:rFonts w:ascii="Cambria" w:hAnsi="Cambria"/>
          <w:i/>
          <w:iCs/>
          <w:color w:val="595959"/>
          <w:sz w:val="22"/>
        </w:rPr>
        <w:t xml:space="preserve">Tento postup </w:t>
      </w:r>
      <w:r>
        <w:rPr>
          <w:rFonts w:ascii="Cambria" w:hAnsi="Cambria"/>
          <w:i/>
          <w:iCs/>
          <w:color w:val="595959"/>
          <w:sz w:val="22"/>
        </w:rPr>
        <w:t>platí i obráceně, kdy nároky nižších organizačních článků jsou neadekvátní vůči ústředí. Dle zkušenosti z</w:t>
      </w:r>
      <w:r w:rsidRPr="003F58FB">
        <w:rPr>
          <w:rFonts w:ascii="Cambria" w:hAnsi="Cambria"/>
          <w:i/>
          <w:iCs/>
          <w:color w:val="595959"/>
          <w:sz w:val="22"/>
        </w:rPr>
        <w:t xml:space="preserve"> rok</w:t>
      </w:r>
      <w:r>
        <w:rPr>
          <w:rFonts w:ascii="Cambria" w:hAnsi="Cambria"/>
          <w:i/>
          <w:iCs/>
          <w:color w:val="595959"/>
          <w:sz w:val="22"/>
        </w:rPr>
        <w:t>u</w:t>
      </w:r>
      <w:r w:rsidRPr="003F58FB">
        <w:rPr>
          <w:rFonts w:ascii="Cambria" w:hAnsi="Cambria"/>
          <w:i/>
          <w:iCs/>
          <w:color w:val="595959"/>
          <w:sz w:val="22"/>
        </w:rPr>
        <w:t xml:space="preserve"> 2012</w:t>
      </w:r>
      <w:r>
        <w:rPr>
          <w:rFonts w:ascii="Cambria" w:hAnsi="Cambria"/>
          <w:i/>
          <w:iCs/>
          <w:color w:val="595959"/>
          <w:sz w:val="22"/>
        </w:rPr>
        <w:t xml:space="preserve"> předpokládáme zpřesnění podmínek např.: procentuální vymezení potřeb ústředí a krajských, regionálních článků sportovního svazu; zvýšení kontrolní činnosti; nahlášení na MŠMT datum valné hromady, včetně  informace zda je volební</w:t>
      </w:r>
      <w:r w:rsidRPr="003F58FB">
        <w:rPr>
          <w:rFonts w:ascii="Cambria" w:hAnsi="Cambria"/>
          <w:i/>
          <w:iCs/>
          <w:color w:val="595959"/>
          <w:sz w:val="22"/>
        </w:rPr>
        <w:t>.</w:t>
      </w:r>
      <w:r>
        <w:rPr>
          <w:rFonts w:ascii="Cambria" w:hAnsi="Cambria"/>
          <w:i/>
          <w:iCs/>
          <w:color w:val="595959"/>
          <w:sz w:val="22"/>
        </w:rPr>
        <w:t xml:space="preserve"> Zástupci odboru sportu budou nepravidelně účastni.</w:t>
      </w:r>
    </w:p>
    <w:p w:rsidR="00363427" w:rsidRPr="003F58FB" w:rsidRDefault="00363427" w:rsidP="00205EFB">
      <w:pPr>
        <w:tabs>
          <w:tab w:val="left" w:pos="6804"/>
        </w:tabs>
        <w:spacing w:before="60" w:after="0"/>
        <w:ind w:left="1560" w:right="-15"/>
        <w:rPr>
          <w:rFonts w:ascii="Cambria" w:hAnsi="Cambria"/>
          <w:i/>
          <w:iCs/>
          <w:color w:val="595959"/>
          <w:sz w:val="22"/>
        </w:rPr>
      </w:pPr>
    </w:p>
    <w:p w:rsidR="00363427" w:rsidRPr="00A72F83" w:rsidRDefault="00363427" w:rsidP="00205EFB">
      <w:pPr>
        <w:pStyle w:val="ListParagraph"/>
        <w:numPr>
          <w:ilvl w:val="0"/>
          <w:numId w:val="4"/>
        </w:numPr>
        <w:tabs>
          <w:tab w:val="left" w:pos="6804"/>
        </w:tabs>
        <w:spacing w:after="0"/>
        <w:ind w:left="567" w:right="-15" w:hanging="567"/>
        <w:rPr>
          <w:rFonts w:ascii="Cambria" w:hAnsi="Cambria"/>
          <w:b/>
          <w:iCs/>
          <w:color w:val="595959"/>
        </w:rPr>
      </w:pPr>
      <w:r w:rsidRPr="00A72F83">
        <w:rPr>
          <w:b/>
        </w:rPr>
        <w:t xml:space="preserve">Dotaz: Je </w:t>
      </w:r>
      <w:r>
        <w:rPr>
          <w:b/>
        </w:rPr>
        <w:t>možné využít dotaci k nákupu automobilu, dresů, šachových hodin atd.?</w:t>
      </w:r>
    </w:p>
    <w:p w:rsidR="00363427" w:rsidRDefault="00363427" w:rsidP="00205EFB">
      <w:pPr>
        <w:tabs>
          <w:tab w:val="left" w:pos="6804"/>
        </w:tabs>
        <w:spacing w:before="60" w:after="0"/>
        <w:ind w:left="1560" w:right="-15" w:hanging="993"/>
        <w:rPr>
          <w:rFonts w:ascii="Cambria" w:hAnsi="Cambria"/>
          <w:i/>
          <w:iCs/>
          <w:color w:val="0000FA"/>
          <w:sz w:val="22"/>
        </w:rPr>
      </w:pPr>
      <w:r w:rsidRPr="003F58FB">
        <w:rPr>
          <w:rFonts w:ascii="Cambria" w:hAnsi="Cambria"/>
          <w:i/>
          <w:iCs/>
          <w:color w:val="0000FA"/>
          <w:sz w:val="22"/>
        </w:rPr>
        <w:t xml:space="preserve">Odpověď: </w:t>
      </w:r>
      <w:r>
        <w:rPr>
          <w:rFonts w:ascii="Cambria" w:hAnsi="Cambria"/>
          <w:i/>
          <w:iCs/>
          <w:color w:val="0000FA"/>
          <w:sz w:val="22"/>
        </w:rPr>
        <w:t xml:space="preserve">Dotace je neinvestičního charakteru, proto nákup nad 40 tis. Kč je již záležitostí investic (nelze zaměňovat, ani žádat o výjimku nebo převedení do investic). </w:t>
      </w:r>
    </w:p>
    <w:p w:rsidR="00363427" w:rsidRPr="003F58FB" w:rsidRDefault="00363427" w:rsidP="00A87D9F">
      <w:pPr>
        <w:tabs>
          <w:tab w:val="left" w:pos="6804"/>
        </w:tabs>
        <w:spacing w:before="60" w:after="0"/>
        <w:ind w:left="1560" w:right="-15"/>
        <w:rPr>
          <w:rFonts w:ascii="Cambria" w:hAnsi="Cambria"/>
          <w:i/>
          <w:iCs/>
          <w:color w:val="0000FA"/>
          <w:sz w:val="22"/>
        </w:rPr>
      </w:pPr>
      <w:r>
        <w:rPr>
          <w:rFonts w:ascii="Cambria" w:hAnsi="Cambria"/>
          <w:i/>
          <w:iCs/>
          <w:color w:val="0000FA"/>
          <w:sz w:val="22"/>
        </w:rPr>
        <w:t xml:space="preserve">U ostatních nákupů nelze dělit zakázky a jako celek je nutné zajistit vyhlášení veřejné zakázky. Bližší informace jsou zveřejněny na internetu </w:t>
      </w:r>
      <w:hyperlink r:id="rId14" w:history="1">
        <w:r w:rsidRPr="00462518">
          <w:rPr>
            <w:rStyle w:val="Hyperlink"/>
            <w:rFonts w:ascii="Cambria" w:hAnsi="Cambria"/>
            <w:i/>
            <w:iCs/>
            <w:sz w:val="22"/>
          </w:rPr>
          <w:t>www.msmt.cz</w:t>
        </w:r>
      </w:hyperlink>
      <w:r>
        <w:rPr>
          <w:rFonts w:ascii="Cambria" w:hAnsi="Cambria"/>
          <w:i/>
          <w:iCs/>
          <w:color w:val="0000FA"/>
          <w:sz w:val="22"/>
        </w:rPr>
        <w:t xml:space="preserve"> – sport – dotace.</w:t>
      </w:r>
    </w:p>
    <w:p w:rsidR="00363427" w:rsidRDefault="00363427" w:rsidP="00814873">
      <w:pPr>
        <w:tabs>
          <w:tab w:val="left" w:pos="6804"/>
        </w:tabs>
        <w:spacing w:before="60" w:after="0"/>
        <w:ind w:left="2410" w:right="-15" w:hanging="850"/>
        <w:rPr>
          <w:rFonts w:ascii="Cambria" w:hAnsi="Cambria"/>
          <w:i/>
          <w:iCs/>
          <w:color w:val="595959"/>
          <w:sz w:val="22"/>
        </w:rPr>
      </w:pPr>
      <w:r w:rsidRPr="00814873">
        <w:rPr>
          <w:rFonts w:ascii="Cambria" w:hAnsi="Cambria"/>
          <w:i/>
          <w:iCs/>
          <w:sz w:val="22"/>
          <w:u w:val="single"/>
        </w:rPr>
        <w:t>Důvod:</w:t>
      </w:r>
      <w:r>
        <w:rPr>
          <w:rFonts w:ascii="Cambria" w:hAnsi="Cambria"/>
          <w:i/>
          <w:iCs/>
          <w:color w:val="595959"/>
          <w:sz w:val="22"/>
        </w:rPr>
        <w:t>Od 1. 4. 2012 je v platnosti novela zákona č. 137/2006 Sb., o veřejných zakázkách, ve znění pozdějších předpisů.</w:t>
      </w:r>
    </w:p>
    <w:p w:rsidR="00363427" w:rsidRDefault="00363427" w:rsidP="00814873">
      <w:pPr>
        <w:tabs>
          <w:tab w:val="left" w:pos="6804"/>
        </w:tabs>
        <w:spacing w:before="60" w:after="0"/>
        <w:ind w:left="2410" w:right="-15"/>
        <w:rPr>
          <w:rFonts w:ascii="Cambria" w:hAnsi="Cambria"/>
          <w:i/>
          <w:iCs/>
          <w:color w:val="595959"/>
          <w:sz w:val="22"/>
        </w:rPr>
      </w:pPr>
      <w:r w:rsidRPr="00814873">
        <w:rPr>
          <w:rFonts w:ascii="Cambria" w:hAnsi="Cambria"/>
          <w:i/>
          <w:iCs/>
          <w:sz w:val="22"/>
          <w:u w:val="single"/>
        </w:rPr>
        <w:t>Upozornění:</w:t>
      </w:r>
      <w:r>
        <w:rPr>
          <w:rFonts w:ascii="Cambria" w:hAnsi="Cambria"/>
          <w:i/>
          <w:iCs/>
          <w:color w:val="595959"/>
          <w:sz w:val="22"/>
        </w:rPr>
        <w:t>Limity pro veřejné zakázky jsou již do a nad 100 tis. Kč, další výše limitů je uvedeno v pokynech MŠMT, případně vyhlášenízakázek tzv. malého rozsahu</w:t>
      </w:r>
      <w:r w:rsidRPr="003F58FB">
        <w:rPr>
          <w:rFonts w:ascii="Cambria" w:hAnsi="Cambria"/>
          <w:i/>
          <w:iCs/>
          <w:color w:val="595959"/>
          <w:sz w:val="22"/>
        </w:rPr>
        <w:t>.</w:t>
      </w:r>
    </w:p>
    <w:p w:rsidR="00363427" w:rsidRPr="00AC3334" w:rsidRDefault="00363427" w:rsidP="00F34607">
      <w:pPr>
        <w:tabs>
          <w:tab w:val="left" w:pos="6804"/>
        </w:tabs>
        <w:spacing w:before="120" w:after="0"/>
        <w:ind w:left="2410" w:right="-15"/>
        <w:rPr>
          <w:rFonts w:ascii="Cambria" w:hAnsi="Cambria"/>
          <w:i/>
          <w:iCs/>
          <w:color w:val="0000FA"/>
          <w:sz w:val="22"/>
        </w:rPr>
      </w:pPr>
      <w:r w:rsidRPr="00AC3334">
        <w:rPr>
          <w:rFonts w:ascii="Cambria" w:hAnsi="Cambria"/>
          <w:i/>
          <w:iCs/>
          <w:color w:val="0000FA"/>
          <w:sz w:val="22"/>
          <w:u w:val="single"/>
        </w:rPr>
        <w:t xml:space="preserve">Limity bez DPH - </w:t>
      </w:r>
      <w:r w:rsidRPr="00AC3334">
        <w:rPr>
          <w:rFonts w:ascii="Cambria" w:hAnsi="Cambria"/>
          <w:b/>
          <w:i/>
          <w:iCs/>
          <w:color w:val="0000FA"/>
          <w:sz w:val="22"/>
          <w:u w:val="single"/>
        </w:rPr>
        <w:t>služby</w:t>
      </w:r>
      <w:r w:rsidRPr="00AC3334">
        <w:rPr>
          <w:rFonts w:ascii="Cambria" w:hAnsi="Cambria"/>
          <w:i/>
          <w:iCs/>
          <w:color w:val="0000FA"/>
          <w:sz w:val="22"/>
          <w:u w:val="single"/>
        </w:rPr>
        <w:t>:</w:t>
      </w:r>
    </w:p>
    <w:p w:rsidR="00363427" w:rsidRPr="00AC3334" w:rsidRDefault="00363427" w:rsidP="00EA5E18">
      <w:pPr>
        <w:tabs>
          <w:tab w:val="left" w:pos="3969"/>
          <w:tab w:val="left" w:pos="7088"/>
        </w:tabs>
        <w:spacing w:before="60" w:after="0"/>
        <w:ind w:left="2410" w:right="-15"/>
        <w:jc w:val="left"/>
        <w:rPr>
          <w:rFonts w:ascii="Cambria" w:hAnsi="Cambria"/>
          <w:i/>
          <w:iCs/>
          <w:color w:val="0000FA"/>
          <w:sz w:val="22"/>
        </w:rPr>
      </w:pPr>
      <w:r w:rsidRPr="00AC3334">
        <w:rPr>
          <w:rFonts w:ascii="Cambria" w:hAnsi="Cambria"/>
          <w:i/>
          <w:iCs/>
          <w:color w:val="0000FA"/>
          <w:sz w:val="22"/>
        </w:rPr>
        <w:t>I. kategorie</w:t>
      </w:r>
      <w:r w:rsidRPr="00AC3334">
        <w:rPr>
          <w:rFonts w:ascii="Cambria" w:hAnsi="Cambria"/>
          <w:i/>
          <w:iCs/>
          <w:color w:val="0000FA"/>
          <w:sz w:val="22"/>
        </w:rPr>
        <w:tab/>
        <w:t xml:space="preserve">zakázky </w:t>
      </w:r>
      <w:r w:rsidRPr="00AC3334">
        <w:rPr>
          <w:rFonts w:ascii="Cambria" w:hAnsi="Cambria"/>
          <w:i/>
          <w:iCs/>
          <w:color w:val="0000FA"/>
          <w:sz w:val="22"/>
        </w:rPr>
        <w:tab/>
        <w:t>do       100.000,- Kč</w:t>
      </w:r>
    </w:p>
    <w:p w:rsidR="00363427" w:rsidRPr="00AC3334" w:rsidRDefault="00363427" w:rsidP="00EA5E18">
      <w:pPr>
        <w:tabs>
          <w:tab w:val="left" w:pos="3969"/>
          <w:tab w:val="left" w:pos="4962"/>
          <w:tab w:val="left" w:pos="6804"/>
        </w:tabs>
        <w:spacing w:before="60" w:after="0"/>
        <w:ind w:left="2410" w:right="-15"/>
        <w:jc w:val="left"/>
        <w:rPr>
          <w:rFonts w:ascii="Cambria" w:hAnsi="Cambria"/>
          <w:i/>
          <w:iCs/>
          <w:color w:val="0000FA"/>
          <w:sz w:val="22"/>
        </w:rPr>
      </w:pPr>
      <w:r w:rsidRPr="00AC3334">
        <w:rPr>
          <w:rFonts w:ascii="Cambria" w:hAnsi="Cambria"/>
          <w:i/>
          <w:iCs/>
          <w:color w:val="0000FA"/>
          <w:sz w:val="22"/>
        </w:rPr>
        <w:t>II. kategorie</w:t>
      </w:r>
      <w:r w:rsidRPr="00AC3334">
        <w:rPr>
          <w:rFonts w:ascii="Cambria" w:hAnsi="Cambria"/>
          <w:i/>
          <w:iCs/>
          <w:color w:val="0000FA"/>
          <w:sz w:val="22"/>
        </w:rPr>
        <w:tab/>
        <w:t xml:space="preserve">zakázky od    100.000,- Kč </w:t>
      </w:r>
      <w:r w:rsidRPr="00AC3334">
        <w:rPr>
          <w:rFonts w:ascii="Cambria" w:hAnsi="Cambria"/>
          <w:i/>
          <w:iCs/>
          <w:color w:val="0000FA"/>
          <w:sz w:val="22"/>
        </w:rPr>
        <w:tab/>
      </w:r>
      <w:r w:rsidRPr="00AC3334">
        <w:rPr>
          <w:rFonts w:ascii="Cambria" w:hAnsi="Cambria"/>
          <w:i/>
          <w:iCs/>
          <w:color w:val="0000FA"/>
          <w:sz w:val="22"/>
        </w:rPr>
        <w:tab/>
        <w:t>do    1.000.000,- Kč</w:t>
      </w:r>
    </w:p>
    <w:p w:rsidR="00363427" w:rsidRPr="00AC3334" w:rsidRDefault="00363427" w:rsidP="00EA5E18">
      <w:pPr>
        <w:tabs>
          <w:tab w:val="left" w:pos="3969"/>
          <w:tab w:val="left" w:pos="4962"/>
          <w:tab w:val="left" w:pos="6804"/>
        </w:tabs>
        <w:spacing w:before="60" w:after="0"/>
        <w:ind w:left="2410" w:right="-15"/>
        <w:jc w:val="left"/>
        <w:rPr>
          <w:rFonts w:ascii="Cambria" w:hAnsi="Cambria"/>
          <w:i/>
          <w:iCs/>
          <w:color w:val="0000FA"/>
          <w:sz w:val="22"/>
        </w:rPr>
      </w:pPr>
      <w:r w:rsidRPr="00AC3334">
        <w:rPr>
          <w:rFonts w:ascii="Cambria" w:hAnsi="Cambria"/>
          <w:i/>
          <w:iCs/>
          <w:color w:val="0000FA"/>
          <w:sz w:val="22"/>
        </w:rPr>
        <w:t>III. kategorie</w:t>
      </w:r>
      <w:r w:rsidRPr="00AC3334">
        <w:rPr>
          <w:rFonts w:ascii="Cambria" w:hAnsi="Cambria"/>
          <w:i/>
          <w:iCs/>
          <w:color w:val="0000FA"/>
          <w:sz w:val="22"/>
        </w:rPr>
        <w:tab/>
        <w:t>zakázky od 1.000.000,- Kč</w:t>
      </w:r>
      <w:r w:rsidRPr="00AC3334">
        <w:rPr>
          <w:rFonts w:ascii="Cambria" w:hAnsi="Cambria"/>
          <w:i/>
          <w:iCs/>
          <w:color w:val="0000FA"/>
          <w:sz w:val="22"/>
        </w:rPr>
        <w:tab/>
      </w:r>
      <w:r w:rsidRPr="00AC3334">
        <w:rPr>
          <w:rFonts w:ascii="Cambria" w:hAnsi="Cambria"/>
          <w:i/>
          <w:iCs/>
          <w:color w:val="0000FA"/>
          <w:sz w:val="22"/>
        </w:rPr>
        <w:tab/>
        <w:t>do  10.000.000,- Kč</w:t>
      </w:r>
    </w:p>
    <w:p w:rsidR="00363427" w:rsidRPr="00AC3334" w:rsidRDefault="00363427" w:rsidP="00EA5E18">
      <w:pPr>
        <w:tabs>
          <w:tab w:val="left" w:pos="3969"/>
          <w:tab w:val="left" w:pos="4962"/>
          <w:tab w:val="left" w:pos="6804"/>
        </w:tabs>
        <w:spacing w:before="60" w:after="0"/>
        <w:ind w:left="2410" w:right="-15"/>
        <w:jc w:val="left"/>
        <w:rPr>
          <w:rFonts w:ascii="Cambria" w:hAnsi="Cambria"/>
          <w:i/>
          <w:iCs/>
          <w:color w:val="0000FA"/>
          <w:sz w:val="22"/>
        </w:rPr>
      </w:pPr>
      <w:r w:rsidRPr="00AC3334">
        <w:rPr>
          <w:rFonts w:ascii="Cambria" w:hAnsi="Cambria"/>
          <w:i/>
          <w:iCs/>
          <w:color w:val="0000FA"/>
          <w:sz w:val="22"/>
        </w:rPr>
        <w:t>IV. kategorie</w:t>
      </w:r>
      <w:r w:rsidRPr="00AC3334">
        <w:rPr>
          <w:rFonts w:ascii="Cambria" w:hAnsi="Cambria"/>
          <w:i/>
          <w:iCs/>
          <w:color w:val="0000FA"/>
          <w:sz w:val="22"/>
        </w:rPr>
        <w:tab/>
        <w:t>zakázky od 10.000.000,- Kč</w:t>
      </w:r>
      <w:r w:rsidRPr="00AC3334">
        <w:rPr>
          <w:rFonts w:ascii="Cambria" w:hAnsi="Cambria"/>
          <w:i/>
          <w:iCs/>
          <w:color w:val="0000FA"/>
          <w:sz w:val="22"/>
        </w:rPr>
        <w:tab/>
      </w:r>
      <w:r w:rsidRPr="00AC3334">
        <w:rPr>
          <w:rFonts w:ascii="Cambria" w:hAnsi="Cambria"/>
          <w:i/>
          <w:iCs/>
          <w:color w:val="0000FA"/>
          <w:sz w:val="22"/>
        </w:rPr>
        <w:tab/>
        <w:t>přesah - neuvedeno</w:t>
      </w:r>
      <w:r w:rsidRPr="00AC3334">
        <w:rPr>
          <w:rFonts w:ascii="Cambria" w:hAnsi="Cambria"/>
          <w:i/>
          <w:iCs/>
          <w:color w:val="0000FA"/>
          <w:sz w:val="22"/>
        </w:rPr>
        <w:tab/>
      </w:r>
    </w:p>
    <w:p w:rsidR="00363427" w:rsidRPr="00AC3334" w:rsidRDefault="00363427" w:rsidP="00AC3334">
      <w:pPr>
        <w:tabs>
          <w:tab w:val="left" w:pos="6804"/>
        </w:tabs>
        <w:spacing w:after="0"/>
        <w:ind w:left="2410" w:right="-15"/>
        <w:rPr>
          <w:rFonts w:ascii="Cambria" w:hAnsi="Cambria"/>
          <w:i/>
          <w:iCs/>
          <w:color w:val="0000FA"/>
          <w:sz w:val="22"/>
        </w:rPr>
      </w:pPr>
      <w:r w:rsidRPr="00AC3334">
        <w:rPr>
          <w:rFonts w:ascii="Cambria" w:hAnsi="Cambria"/>
          <w:i/>
          <w:iCs/>
          <w:color w:val="0000FA"/>
          <w:sz w:val="22"/>
          <w:u w:val="single"/>
        </w:rPr>
        <w:t xml:space="preserve">Limity bez DPH – </w:t>
      </w:r>
      <w:r w:rsidRPr="00AC3334">
        <w:rPr>
          <w:rFonts w:ascii="Cambria" w:hAnsi="Cambria"/>
          <w:b/>
          <w:i/>
          <w:iCs/>
          <w:color w:val="0000FA"/>
          <w:sz w:val="22"/>
          <w:u w:val="single"/>
        </w:rPr>
        <w:t>stavební práce</w:t>
      </w:r>
      <w:r w:rsidRPr="00AC3334">
        <w:rPr>
          <w:rFonts w:ascii="Cambria" w:hAnsi="Cambria"/>
          <w:i/>
          <w:iCs/>
          <w:color w:val="0000FA"/>
          <w:sz w:val="22"/>
          <w:u w:val="single"/>
        </w:rPr>
        <w:t>:</w:t>
      </w:r>
    </w:p>
    <w:p w:rsidR="00363427" w:rsidRPr="00AC3334" w:rsidRDefault="00363427" w:rsidP="00AC3334">
      <w:pPr>
        <w:tabs>
          <w:tab w:val="left" w:pos="3969"/>
          <w:tab w:val="left" w:pos="7088"/>
        </w:tabs>
        <w:spacing w:before="60" w:after="0"/>
        <w:ind w:left="2410" w:right="-15"/>
        <w:jc w:val="left"/>
        <w:rPr>
          <w:rFonts w:ascii="Cambria" w:hAnsi="Cambria"/>
          <w:i/>
          <w:iCs/>
          <w:color w:val="0000FA"/>
          <w:sz w:val="22"/>
        </w:rPr>
      </w:pPr>
      <w:r w:rsidRPr="00AC3334">
        <w:rPr>
          <w:rFonts w:ascii="Cambria" w:hAnsi="Cambria"/>
          <w:i/>
          <w:iCs/>
          <w:color w:val="0000FA"/>
          <w:sz w:val="22"/>
        </w:rPr>
        <w:t>I. kategorie</w:t>
      </w:r>
      <w:r w:rsidRPr="00AC3334">
        <w:rPr>
          <w:rFonts w:ascii="Cambria" w:hAnsi="Cambria"/>
          <w:i/>
          <w:iCs/>
          <w:color w:val="0000FA"/>
          <w:sz w:val="22"/>
        </w:rPr>
        <w:tab/>
        <w:t xml:space="preserve">zakázky </w:t>
      </w:r>
      <w:r w:rsidRPr="00AC3334">
        <w:rPr>
          <w:rFonts w:ascii="Cambria" w:hAnsi="Cambria"/>
          <w:i/>
          <w:iCs/>
          <w:color w:val="0000FA"/>
          <w:sz w:val="22"/>
        </w:rPr>
        <w:tab/>
        <w:t>do       100.000,- Kč</w:t>
      </w:r>
    </w:p>
    <w:p w:rsidR="00363427" w:rsidRPr="00AC3334" w:rsidRDefault="00363427" w:rsidP="00AC3334">
      <w:pPr>
        <w:tabs>
          <w:tab w:val="left" w:pos="3969"/>
          <w:tab w:val="left" w:pos="4962"/>
          <w:tab w:val="left" w:pos="6804"/>
        </w:tabs>
        <w:spacing w:before="60" w:after="0"/>
        <w:ind w:left="2410" w:right="-15"/>
        <w:jc w:val="left"/>
        <w:rPr>
          <w:rFonts w:ascii="Cambria" w:hAnsi="Cambria"/>
          <w:i/>
          <w:iCs/>
          <w:color w:val="0000FA"/>
          <w:sz w:val="22"/>
        </w:rPr>
      </w:pPr>
      <w:r w:rsidRPr="00AC3334">
        <w:rPr>
          <w:rFonts w:ascii="Cambria" w:hAnsi="Cambria"/>
          <w:i/>
          <w:iCs/>
          <w:color w:val="0000FA"/>
          <w:sz w:val="22"/>
        </w:rPr>
        <w:t>II. kategorie</w:t>
      </w:r>
      <w:r w:rsidRPr="00AC3334">
        <w:rPr>
          <w:rFonts w:ascii="Cambria" w:hAnsi="Cambria"/>
          <w:i/>
          <w:iCs/>
          <w:color w:val="0000FA"/>
          <w:sz w:val="22"/>
        </w:rPr>
        <w:tab/>
        <w:t xml:space="preserve">zakázky od      100.000,- Kč </w:t>
      </w:r>
      <w:r w:rsidRPr="00AC3334">
        <w:rPr>
          <w:rFonts w:ascii="Cambria" w:hAnsi="Cambria"/>
          <w:i/>
          <w:iCs/>
          <w:color w:val="0000FA"/>
          <w:sz w:val="22"/>
        </w:rPr>
        <w:tab/>
      </w:r>
      <w:r w:rsidRPr="00AC3334">
        <w:rPr>
          <w:rFonts w:ascii="Cambria" w:hAnsi="Cambria"/>
          <w:i/>
          <w:iCs/>
          <w:color w:val="0000FA"/>
          <w:sz w:val="22"/>
        </w:rPr>
        <w:tab/>
        <w:t>do    3.000.000,- Kč</w:t>
      </w:r>
    </w:p>
    <w:p w:rsidR="00363427" w:rsidRPr="00AC3334" w:rsidRDefault="00363427" w:rsidP="00AC3334">
      <w:pPr>
        <w:tabs>
          <w:tab w:val="left" w:pos="3969"/>
          <w:tab w:val="left" w:pos="4962"/>
          <w:tab w:val="left" w:pos="6804"/>
        </w:tabs>
        <w:spacing w:before="60" w:after="0"/>
        <w:ind w:left="2410" w:right="-15"/>
        <w:jc w:val="left"/>
        <w:rPr>
          <w:rFonts w:ascii="Cambria" w:hAnsi="Cambria"/>
          <w:i/>
          <w:iCs/>
          <w:color w:val="0000FA"/>
          <w:sz w:val="22"/>
        </w:rPr>
      </w:pPr>
      <w:r w:rsidRPr="00AC3334">
        <w:rPr>
          <w:rFonts w:ascii="Cambria" w:hAnsi="Cambria"/>
          <w:i/>
          <w:iCs/>
          <w:color w:val="0000FA"/>
          <w:sz w:val="22"/>
        </w:rPr>
        <w:t>III. kategorie</w:t>
      </w:r>
      <w:r w:rsidRPr="00AC3334">
        <w:rPr>
          <w:rFonts w:ascii="Cambria" w:hAnsi="Cambria"/>
          <w:i/>
          <w:iCs/>
          <w:color w:val="0000FA"/>
          <w:sz w:val="22"/>
        </w:rPr>
        <w:tab/>
        <w:t>zakázky od   3.000.000,- Kč</w:t>
      </w:r>
      <w:r w:rsidRPr="00AC3334">
        <w:rPr>
          <w:rFonts w:ascii="Cambria" w:hAnsi="Cambria"/>
          <w:i/>
          <w:iCs/>
          <w:color w:val="0000FA"/>
          <w:sz w:val="22"/>
        </w:rPr>
        <w:tab/>
      </w:r>
      <w:r w:rsidRPr="00AC3334">
        <w:rPr>
          <w:rFonts w:ascii="Cambria" w:hAnsi="Cambria"/>
          <w:i/>
          <w:iCs/>
          <w:color w:val="0000FA"/>
          <w:sz w:val="22"/>
        </w:rPr>
        <w:tab/>
        <w:t>do  15.000.000,- Kč</w:t>
      </w:r>
    </w:p>
    <w:p w:rsidR="00363427" w:rsidRDefault="00363427" w:rsidP="00AC3334">
      <w:pPr>
        <w:tabs>
          <w:tab w:val="left" w:pos="3969"/>
          <w:tab w:val="left" w:pos="4962"/>
          <w:tab w:val="left" w:pos="6804"/>
        </w:tabs>
        <w:spacing w:before="60" w:after="0"/>
        <w:ind w:left="2410" w:right="-15"/>
        <w:jc w:val="left"/>
        <w:rPr>
          <w:rFonts w:ascii="Cambria" w:hAnsi="Cambria"/>
          <w:i/>
          <w:iCs/>
          <w:color w:val="595959"/>
          <w:sz w:val="22"/>
        </w:rPr>
      </w:pPr>
      <w:r w:rsidRPr="00AC3334">
        <w:rPr>
          <w:rFonts w:ascii="Cambria" w:hAnsi="Cambria"/>
          <w:i/>
          <w:iCs/>
          <w:color w:val="0000FA"/>
          <w:sz w:val="22"/>
        </w:rPr>
        <w:t>IV. kategorie</w:t>
      </w:r>
      <w:r w:rsidRPr="00AC3334">
        <w:rPr>
          <w:rFonts w:ascii="Cambria" w:hAnsi="Cambria"/>
          <w:i/>
          <w:iCs/>
          <w:color w:val="0000FA"/>
          <w:sz w:val="22"/>
        </w:rPr>
        <w:tab/>
        <w:t>zakázky od 15.000.000,- Kč</w:t>
      </w:r>
      <w:r w:rsidRPr="00AC3334">
        <w:rPr>
          <w:rFonts w:ascii="Cambria" w:hAnsi="Cambria"/>
          <w:i/>
          <w:iCs/>
          <w:color w:val="0000FA"/>
          <w:sz w:val="22"/>
        </w:rPr>
        <w:tab/>
      </w:r>
      <w:r w:rsidRPr="00AC3334">
        <w:rPr>
          <w:rFonts w:ascii="Cambria" w:hAnsi="Cambria"/>
          <w:i/>
          <w:iCs/>
          <w:color w:val="0000FA"/>
          <w:sz w:val="22"/>
        </w:rPr>
        <w:tab/>
        <w:t>přesah - neuvedeno</w:t>
      </w:r>
      <w:r>
        <w:rPr>
          <w:rFonts w:ascii="Cambria" w:hAnsi="Cambria"/>
          <w:i/>
          <w:iCs/>
          <w:color w:val="595959"/>
          <w:sz w:val="22"/>
        </w:rPr>
        <w:tab/>
      </w:r>
    </w:p>
    <w:p w:rsidR="00363427" w:rsidRDefault="00363427" w:rsidP="00205EFB">
      <w:pPr>
        <w:tabs>
          <w:tab w:val="left" w:pos="6804"/>
        </w:tabs>
        <w:spacing w:before="60" w:after="0"/>
        <w:ind w:left="2410" w:right="-15"/>
        <w:rPr>
          <w:rFonts w:ascii="Cambria" w:hAnsi="Cambria"/>
          <w:i/>
          <w:iCs/>
          <w:color w:val="595959"/>
          <w:sz w:val="22"/>
        </w:rPr>
      </w:pPr>
      <w:r>
        <w:rPr>
          <w:rFonts w:ascii="Cambria" w:hAnsi="Cambria"/>
          <w:i/>
          <w:iCs/>
          <w:color w:val="595959"/>
          <w:sz w:val="22"/>
        </w:rPr>
        <w:t xml:space="preserve">Poznámka: zakázky I. a II. kategorie lze řešit podle pokynů MŠMT – tzv. zadávání veřejných zakázek malého rozsahu, viz </w:t>
      </w:r>
      <w:hyperlink r:id="rId15" w:history="1">
        <w:r w:rsidRPr="00F007F8">
          <w:rPr>
            <w:rStyle w:val="Hyperlink"/>
            <w:rFonts w:ascii="Cambria" w:hAnsi="Cambria"/>
            <w:i/>
            <w:iCs/>
            <w:sz w:val="22"/>
          </w:rPr>
          <w:t>www.msmt.cz</w:t>
        </w:r>
      </w:hyperlink>
      <w:r>
        <w:rPr>
          <w:rFonts w:ascii="Cambria" w:hAnsi="Cambria"/>
          <w:i/>
          <w:iCs/>
          <w:color w:val="595959"/>
          <w:sz w:val="22"/>
        </w:rPr>
        <w:t xml:space="preserve"> – sport – dotace – neinvestiční/investiční. </w:t>
      </w:r>
    </w:p>
    <w:p w:rsidR="00363427" w:rsidRPr="003F58FB" w:rsidRDefault="00363427" w:rsidP="00205EFB">
      <w:pPr>
        <w:tabs>
          <w:tab w:val="left" w:pos="6804"/>
        </w:tabs>
        <w:spacing w:before="60" w:after="0"/>
        <w:ind w:left="2410" w:right="-15"/>
        <w:rPr>
          <w:rFonts w:ascii="Cambria" w:hAnsi="Cambria"/>
          <w:i/>
          <w:iCs/>
          <w:color w:val="595959"/>
          <w:sz w:val="22"/>
        </w:rPr>
      </w:pPr>
    </w:p>
    <w:p w:rsidR="00363427" w:rsidRPr="006963F5" w:rsidRDefault="00363427" w:rsidP="00A87D9F">
      <w:pPr>
        <w:pStyle w:val="ListParagraph"/>
        <w:numPr>
          <w:ilvl w:val="0"/>
          <w:numId w:val="4"/>
        </w:numPr>
        <w:tabs>
          <w:tab w:val="left" w:pos="6804"/>
        </w:tabs>
        <w:spacing w:after="0"/>
        <w:ind w:left="567" w:right="-15" w:hanging="567"/>
        <w:rPr>
          <w:rFonts w:ascii="Cambria" w:hAnsi="Cambria"/>
          <w:iCs/>
          <w:color w:val="595959"/>
          <w:sz w:val="22"/>
        </w:rPr>
      </w:pPr>
      <w:r>
        <w:rPr>
          <w:b/>
        </w:rPr>
        <w:t>Dotaz: Je možné využít prostředky i pro sportovní reprezentaci, sport pro všechny, údržbu a provoz sportovních zařízení?</w:t>
      </w:r>
    </w:p>
    <w:p w:rsidR="00363427" w:rsidRPr="006963F5" w:rsidRDefault="00363427" w:rsidP="006963F5">
      <w:pPr>
        <w:tabs>
          <w:tab w:val="left" w:pos="6804"/>
        </w:tabs>
        <w:spacing w:before="60" w:after="0"/>
        <w:ind w:left="1560" w:right="-15" w:hanging="993"/>
        <w:rPr>
          <w:rFonts w:ascii="Cambria" w:hAnsi="Cambria"/>
          <w:i/>
          <w:iCs/>
          <w:color w:val="0000FA"/>
          <w:sz w:val="22"/>
        </w:rPr>
      </w:pPr>
      <w:r w:rsidRPr="006963F5">
        <w:rPr>
          <w:rFonts w:ascii="Cambria" w:hAnsi="Cambria"/>
          <w:i/>
          <w:iCs/>
          <w:color w:val="0000FA"/>
          <w:sz w:val="22"/>
        </w:rPr>
        <w:t xml:space="preserve">Odpověď: </w:t>
      </w:r>
      <w:r>
        <w:rPr>
          <w:rFonts w:ascii="Cambria" w:hAnsi="Cambria"/>
          <w:i/>
          <w:iCs/>
          <w:color w:val="0000FA"/>
          <w:sz w:val="22"/>
        </w:rPr>
        <w:t xml:space="preserve">Ano lze. Vymezení co lze nebo nelze je vymezeno doplňkem k Rozhodnutí. </w:t>
      </w:r>
    </w:p>
    <w:p w:rsidR="00363427" w:rsidRDefault="00363427" w:rsidP="008E1AF2">
      <w:pPr>
        <w:tabs>
          <w:tab w:val="left" w:pos="2410"/>
          <w:tab w:val="left" w:pos="6804"/>
        </w:tabs>
        <w:spacing w:before="60" w:after="0"/>
        <w:ind w:left="2410" w:right="-15" w:hanging="850"/>
        <w:rPr>
          <w:rFonts w:ascii="Cambria" w:hAnsi="Cambria"/>
          <w:i/>
          <w:iCs/>
          <w:color w:val="595959"/>
          <w:sz w:val="22"/>
        </w:rPr>
      </w:pPr>
      <w:r w:rsidRPr="00814873">
        <w:rPr>
          <w:rFonts w:ascii="Cambria" w:hAnsi="Cambria"/>
          <w:i/>
          <w:iCs/>
          <w:sz w:val="22"/>
          <w:u w:val="single"/>
        </w:rPr>
        <w:t>Důvod:</w:t>
      </w:r>
      <w:r>
        <w:rPr>
          <w:rFonts w:ascii="Cambria" w:hAnsi="Cambria"/>
          <w:i/>
          <w:iCs/>
          <w:color w:val="595959"/>
          <w:sz w:val="22"/>
        </w:rPr>
        <w:t>Náklady, které souvisí s vymezením programů, je možné hradit dle stanovených podmínek.</w:t>
      </w:r>
    </w:p>
    <w:p w:rsidR="00363427" w:rsidRDefault="00363427" w:rsidP="00951C59">
      <w:pPr>
        <w:tabs>
          <w:tab w:val="left" w:pos="6804"/>
        </w:tabs>
        <w:spacing w:before="60" w:after="0"/>
        <w:ind w:left="2410" w:right="-15"/>
        <w:rPr>
          <w:rFonts w:ascii="Cambria" w:hAnsi="Cambria"/>
          <w:i/>
          <w:iCs/>
          <w:color w:val="595959"/>
          <w:sz w:val="22"/>
        </w:rPr>
      </w:pPr>
      <w:r w:rsidRPr="00814873">
        <w:rPr>
          <w:rFonts w:ascii="Cambria" w:hAnsi="Cambria"/>
          <w:i/>
          <w:iCs/>
          <w:sz w:val="22"/>
          <w:u w:val="single"/>
        </w:rPr>
        <w:t>Upozornění:</w:t>
      </w:r>
      <w:r w:rsidRPr="00320C1B">
        <w:rPr>
          <w:rFonts w:ascii="Cambria" w:hAnsi="Cambria"/>
          <w:i/>
          <w:iCs/>
          <w:color w:val="595959"/>
          <w:sz w:val="22"/>
        </w:rPr>
        <w:t>Záležitosti, které nebyly zohledněny</w:t>
      </w:r>
      <w:r>
        <w:rPr>
          <w:rFonts w:ascii="Cambria" w:hAnsi="Cambria"/>
          <w:i/>
          <w:iCs/>
          <w:color w:val="595959"/>
          <w:sz w:val="22"/>
        </w:rPr>
        <w:t xml:space="preserve"> např. u Programu IV, je možné realizovat z těchto prostředků. </w:t>
      </w:r>
    </w:p>
    <w:p w:rsidR="00363427" w:rsidRDefault="00363427" w:rsidP="00205EFB">
      <w:pPr>
        <w:pBdr>
          <w:bottom w:val="single" w:sz="12" w:space="1" w:color="0000FA"/>
        </w:pBdr>
        <w:spacing w:after="0"/>
        <w:rPr>
          <w:b/>
          <w:sz w:val="28"/>
        </w:rPr>
      </w:pPr>
    </w:p>
    <w:p w:rsidR="00363427" w:rsidRDefault="00363427" w:rsidP="00D907F6">
      <w:pPr>
        <w:spacing w:after="0"/>
        <w:jc w:val="left"/>
        <w:rPr>
          <w:b/>
          <w:sz w:val="28"/>
        </w:rPr>
      </w:pPr>
    </w:p>
    <w:p w:rsidR="00363427" w:rsidRDefault="00363427" w:rsidP="00D907F6">
      <w:pPr>
        <w:spacing w:after="0"/>
        <w:jc w:val="left"/>
        <w:rPr>
          <w:b/>
          <w:sz w:val="28"/>
        </w:rPr>
      </w:pPr>
    </w:p>
    <w:p w:rsidR="00363427" w:rsidRDefault="00363427" w:rsidP="007D2584">
      <w:pPr>
        <w:spacing w:after="0"/>
        <w:rPr>
          <w:b/>
          <w:color w:val="EEECE1"/>
          <w:sz w:val="28"/>
        </w:rPr>
      </w:pPr>
      <w:r>
        <w:rPr>
          <w:b/>
          <w:color w:val="EEECE1"/>
          <w:sz w:val="28"/>
        </w:rPr>
        <w:t>ZÁVĚREM</w:t>
      </w:r>
    </w:p>
    <w:p w:rsidR="00363427" w:rsidRPr="00C64661" w:rsidRDefault="00363427" w:rsidP="007D2584">
      <w:pPr>
        <w:spacing w:after="0"/>
        <w:rPr>
          <w:b/>
          <w:color w:val="EEECE1"/>
          <w:sz w:val="20"/>
        </w:rPr>
      </w:pPr>
    </w:p>
    <w:p w:rsidR="00363427" w:rsidRPr="00C64661" w:rsidRDefault="00363427" w:rsidP="007D2584">
      <w:pPr>
        <w:spacing w:after="0"/>
        <w:rPr>
          <w:i/>
          <w:sz w:val="18"/>
          <w:szCs w:val="24"/>
        </w:rPr>
        <w:sectPr w:rsidR="00363427" w:rsidRPr="00C64661" w:rsidSect="00A353C4">
          <w:type w:val="continuous"/>
          <w:pgSz w:w="11906" w:h="16838"/>
          <w:pgMar w:top="962" w:right="1417" w:bottom="1417" w:left="1417" w:header="284" w:footer="708" w:gutter="0"/>
          <w:cols w:space="708"/>
          <w:docGrid w:linePitch="360"/>
        </w:sectPr>
      </w:pPr>
    </w:p>
    <w:p w:rsidR="00363427" w:rsidRDefault="00363427" w:rsidP="007D2584">
      <w:pPr>
        <w:spacing w:after="0"/>
        <w:rPr>
          <w:i/>
          <w:szCs w:val="24"/>
        </w:rPr>
      </w:pPr>
      <w:r>
        <w:rPr>
          <w:i/>
          <w:szCs w:val="24"/>
        </w:rPr>
        <w:t>Odbor sportu MŠMT vyzývá představitele sportovních svazů, aby seznámili o těchto informacích příslušné pracovníky svazu i na nižší úrovni organizační struktury.</w:t>
      </w:r>
    </w:p>
    <w:p w:rsidR="00363427" w:rsidRDefault="00363427" w:rsidP="00C64661">
      <w:pPr>
        <w:spacing w:before="120" w:after="0"/>
        <w:rPr>
          <w:i/>
          <w:szCs w:val="24"/>
        </w:rPr>
      </w:pPr>
      <w:r>
        <w:rPr>
          <w:i/>
          <w:szCs w:val="24"/>
        </w:rPr>
        <w:t xml:space="preserve">Odbor sportu MŠMT žádá o zaslání na adresu </w:t>
      </w:r>
      <w:hyperlink r:id="rId16" w:history="1">
        <w:r w:rsidRPr="00592FEE">
          <w:rPr>
            <w:rStyle w:val="Hyperlink"/>
            <w:i/>
            <w:szCs w:val="24"/>
          </w:rPr>
          <w:t>sport@msmt.cz</w:t>
        </w:r>
      </w:hyperlink>
      <w:r>
        <w:rPr>
          <w:i/>
          <w:szCs w:val="24"/>
        </w:rPr>
        <w:t xml:space="preserve"> případné upřesnění e-mailové adresy nebo další kontakty, kam by se tyto e-INFO měly rozesílat.  </w:t>
      </w:r>
    </w:p>
    <w:p w:rsidR="00363427" w:rsidRDefault="00363427" w:rsidP="007D2584">
      <w:pPr>
        <w:spacing w:after="0"/>
        <w:rPr>
          <w:i/>
          <w:szCs w:val="24"/>
        </w:rPr>
      </w:pPr>
      <w:r>
        <w:rPr>
          <w:i/>
          <w:szCs w:val="24"/>
        </w:rPr>
        <w:t xml:space="preserve">Odbor sportu MŠMT žádá již pro rok 2012 o zaslání na adresu </w:t>
      </w:r>
      <w:hyperlink r:id="rId17" w:history="1">
        <w:r w:rsidRPr="00592FEE">
          <w:rPr>
            <w:rStyle w:val="Hyperlink"/>
            <w:i/>
            <w:szCs w:val="24"/>
          </w:rPr>
          <w:t>sport@msmt.cz</w:t>
        </w:r>
      </w:hyperlink>
      <w:r>
        <w:rPr>
          <w:i/>
          <w:szCs w:val="24"/>
        </w:rPr>
        <w:t xml:space="preserve"> údaje o termínech jednání valného shromáždění sportovního svazu,resp.sportovní organizace.</w:t>
      </w:r>
    </w:p>
    <w:p w:rsidR="00363427" w:rsidRDefault="00363427" w:rsidP="00C64661">
      <w:pPr>
        <w:spacing w:before="120" w:after="0"/>
        <w:rPr>
          <w:i/>
          <w:szCs w:val="24"/>
        </w:rPr>
      </w:pPr>
      <w:r>
        <w:rPr>
          <w:i/>
          <w:szCs w:val="24"/>
        </w:rPr>
        <w:t>Informace: tyto údaje budou součástí žádostí pro rok 2013.</w:t>
      </w:r>
    </w:p>
    <w:p w:rsidR="00363427" w:rsidRDefault="00363427" w:rsidP="007D2584">
      <w:pPr>
        <w:spacing w:after="0"/>
        <w:rPr>
          <w:i/>
          <w:szCs w:val="24"/>
        </w:rPr>
        <w:sectPr w:rsidR="00363427" w:rsidSect="00053020">
          <w:type w:val="continuous"/>
          <w:pgSz w:w="11906" w:h="16838"/>
          <w:pgMar w:top="962" w:right="1417" w:bottom="1417" w:left="1417" w:header="284" w:footer="708" w:gutter="0"/>
          <w:cols w:num="2" w:sep="1" w:space="709"/>
          <w:docGrid w:linePitch="360"/>
        </w:sectPr>
      </w:pPr>
    </w:p>
    <w:p w:rsidR="00363427" w:rsidRDefault="00363427" w:rsidP="007D2584">
      <w:pPr>
        <w:spacing w:after="0"/>
        <w:rPr>
          <w:i/>
          <w:szCs w:val="24"/>
        </w:rPr>
      </w:pPr>
    </w:p>
    <w:p w:rsidR="00363427" w:rsidRDefault="00363427" w:rsidP="007D2584">
      <w:pPr>
        <w:spacing w:after="0"/>
        <w:rPr>
          <w:i/>
          <w:szCs w:val="24"/>
        </w:rPr>
      </w:pPr>
    </w:p>
    <w:p w:rsidR="00363427" w:rsidRDefault="00363427" w:rsidP="007D2584">
      <w:pPr>
        <w:spacing w:after="0"/>
        <w:rPr>
          <w:i/>
          <w:szCs w:val="24"/>
        </w:rPr>
      </w:pPr>
    </w:p>
    <w:p w:rsidR="00363427" w:rsidRDefault="00363427" w:rsidP="00D907F6">
      <w:pPr>
        <w:spacing w:after="0"/>
        <w:jc w:val="left"/>
        <w:rPr>
          <w:b/>
          <w:sz w:val="28"/>
        </w:rPr>
        <w:sectPr w:rsidR="00363427" w:rsidSect="007D2584">
          <w:type w:val="continuous"/>
          <w:pgSz w:w="11906" w:h="16838"/>
          <w:pgMar w:top="962" w:right="1417" w:bottom="1417" w:left="1417" w:header="284" w:footer="708" w:gutter="0"/>
          <w:cols w:num="2" w:space="708"/>
          <w:docGrid w:linePitch="360"/>
        </w:sectPr>
      </w:pPr>
    </w:p>
    <w:p w:rsidR="00363427" w:rsidRDefault="00363427" w:rsidP="003C29FF">
      <w:pPr>
        <w:spacing w:after="0"/>
        <w:rPr>
          <w:b/>
          <w:szCs w:val="24"/>
        </w:rPr>
      </w:pPr>
    </w:p>
    <w:p w:rsidR="00363427" w:rsidRDefault="00363427" w:rsidP="003C29FF">
      <w:pPr>
        <w:spacing w:after="0"/>
        <w:rPr>
          <w:b/>
          <w:szCs w:val="24"/>
        </w:rPr>
      </w:pPr>
      <w:r>
        <w:rPr>
          <w:b/>
          <w:szCs w:val="24"/>
        </w:rPr>
        <w:t>Po uzávěrce:</w:t>
      </w:r>
    </w:p>
    <w:p w:rsidR="00363427" w:rsidRDefault="00363427" w:rsidP="003C29FF">
      <w:pPr>
        <w:spacing w:after="0"/>
        <w:rPr>
          <w:b/>
          <w:szCs w:val="24"/>
        </w:rPr>
      </w:pPr>
    </w:p>
    <w:p w:rsidR="00363427" w:rsidRDefault="00363427" w:rsidP="00250EB4">
      <w:pPr>
        <w:pStyle w:val="ListParagraph"/>
        <w:numPr>
          <w:ilvl w:val="0"/>
          <w:numId w:val="15"/>
        </w:numPr>
        <w:spacing w:after="0"/>
        <w:ind w:left="426" w:hanging="426"/>
        <w:rPr>
          <w:szCs w:val="24"/>
        </w:rPr>
      </w:pPr>
      <w:r w:rsidRPr="00505950">
        <w:rPr>
          <w:szCs w:val="24"/>
        </w:rPr>
        <w:t>Problematika reklamní a propagační činnosti, pro kterou nelze využít státní dotace. Do této oblasti spadá i výroba TV, video, rozhlasových spotů. Není možné použít i pro fotografování reprezentačních týmů, výrobu plakátů, kalendářů, vlaječek, odznakůapod..Doporučujeme zvážit i vydávání výročních zpráv organizace na křídovém papíře, pokud není hrazeno z vlastních zdrojů.</w:t>
      </w:r>
    </w:p>
    <w:p w:rsidR="00363427" w:rsidRPr="00250EB4" w:rsidRDefault="00363427" w:rsidP="00250EB4">
      <w:pPr>
        <w:spacing w:after="0"/>
        <w:rPr>
          <w:szCs w:val="24"/>
        </w:rPr>
      </w:pPr>
    </w:p>
    <w:p w:rsidR="00363427" w:rsidRDefault="00363427" w:rsidP="00250EB4">
      <w:pPr>
        <w:pStyle w:val="ListParagraph"/>
        <w:numPr>
          <w:ilvl w:val="0"/>
          <w:numId w:val="15"/>
        </w:numPr>
        <w:spacing w:after="0"/>
        <w:ind w:left="426" w:hanging="426"/>
        <w:rPr>
          <w:szCs w:val="24"/>
        </w:rPr>
      </w:pPr>
      <w:r>
        <w:rPr>
          <w:szCs w:val="24"/>
        </w:rPr>
        <w:t xml:space="preserve">Sportovní svaz odpovídá za pravdivé údaje </w:t>
      </w:r>
      <w:r w:rsidRPr="00250EB4">
        <w:rPr>
          <w:szCs w:val="24"/>
        </w:rPr>
        <w:t>uvedené v podkladech i za údaje od konečných příjemců</w:t>
      </w:r>
      <w:r>
        <w:rPr>
          <w:szCs w:val="24"/>
        </w:rPr>
        <w:t xml:space="preserve"> stanovené pro příslušné programy, včetně podmínku pro vedení podvojného účetnictví. </w:t>
      </w:r>
    </w:p>
    <w:p w:rsidR="00363427" w:rsidRPr="00250EB4" w:rsidRDefault="00363427" w:rsidP="00250EB4">
      <w:pPr>
        <w:pStyle w:val="ListParagraph"/>
        <w:rPr>
          <w:szCs w:val="24"/>
        </w:rPr>
      </w:pPr>
    </w:p>
    <w:p w:rsidR="00363427" w:rsidRPr="00250EB4" w:rsidRDefault="00363427" w:rsidP="00250EB4">
      <w:pPr>
        <w:pStyle w:val="ListParagraph"/>
        <w:numPr>
          <w:ilvl w:val="0"/>
          <w:numId w:val="14"/>
        </w:numPr>
        <w:spacing w:before="120" w:after="0"/>
        <w:ind w:left="426" w:hanging="426"/>
        <w:rPr>
          <w:b/>
          <w:szCs w:val="24"/>
        </w:rPr>
      </w:pPr>
      <w:r w:rsidRPr="00250EB4">
        <w:rPr>
          <w:szCs w:val="24"/>
        </w:rPr>
        <w:t xml:space="preserve">Upozornění: </w:t>
      </w:r>
      <w:r>
        <w:rPr>
          <w:szCs w:val="24"/>
        </w:rPr>
        <w:t>p</w:t>
      </w:r>
      <w:r w:rsidRPr="00250EB4">
        <w:rPr>
          <w:szCs w:val="24"/>
        </w:rPr>
        <w:t>řipravujeme zahájení zpracování evidence členské základny jednotlivých sportovních subjektů s využitím programu Fotbalové asociace ČR. Již v roce 2012 budete osloveni s výzvou o vyplnění potřebných údajů.</w:t>
      </w:r>
    </w:p>
    <w:p w:rsidR="00363427" w:rsidRDefault="00363427" w:rsidP="00250EB4">
      <w:pPr>
        <w:spacing w:after="0"/>
        <w:rPr>
          <w:szCs w:val="24"/>
        </w:rPr>
      </w:pPr>
    </w:p>
    <w:p w:rsidR="00363427" w:rsidRDefault="00363427" w:rsidP="00250EB4">
      <w:pPr>
        <w:pStyle w:val="ListParagraph"/>
        <w:numPr>
          <w:ilvl w:val="0"/>
          <w:numId w:val="14"/>
        </w:numPr>
        <w:spacing w:after="0"/>
        <w:ind w:left="426" w:hanging="426"/>
        <w:rPr>
          <w:b/>
          <w:szCs w:val="24"/>
        </w:rPr>
      </w:pPr>
      <w:r>
        <w:rPr>
          <w:b/>
          <w:szCs w:val="24"/>
        </w:rPr>
        <w:t>Dne 15. května 2012 se uskuteční seminář k problematice neinvestičních Programů I až V. Seminář se uskuteční v prostorách ČOS, Tyršův dům, Újezd 450, Praha 1. Začátek je stanoven na 13.00 hod. Obsah jednání se bude orientovat na bližší vysvětlení problematiky, která je součástí i těchto e-INFO.</w:t>
      </w:r>
    </w:p>
    <w:p w:rsidR="00363427" w:rsidRPr="00250EB4" w:rsidRDefault="00363427" w:rsidP="00250EB4">
      <w:pPr>
        <w:spacing w:after="0"/>
        <w:rPr>
          <w:szCs w:val="24"/>
        </w:rPr>
      </w:pPr>
    </w:p>
    <w:p w:rsidR="00363427" w:rsidRPr="00250EB4" w:rsidRDefault="00363427" w:rsidP="003C29FF">
      <w:pPr>
        <w:spacing w:after="0"/>
        <w:rPr>
          <w:b/>
          <w:sz w:val="28"/>
          <w:szCs w:val="24"/>
        </w:rPr>
      </w:pPr>
    </w:p>
    <w:p w:rsidR="00363427" w:rsidRDefault="00363427" w:rsidP="003C29FF">
      <w:pPr>
        <w:spacing w:after="0"/>
        <w:rPr>
          <w:b/>
          <w:szCs w:val="24"/>
        </w:rPr>
      </w:pPr>
    </w:p>
    <w:p w:rsidR="00363427" w:rsidRDefault="00363427" w:rsidP="003C29FF">
      <w:pPr>
        <w:spacing w:after="0"/>
        <w:rPr>
          <w:b/>
          <w:szCs w:val="24"/>
        </w:rPr>
      </w:pPr>
    </w:p>
    <w:p w:rsidR="00363427" w:rsidRDefault="00363427" w:rsidP="003C29FF">
      <w:pPr>
        <w:spacing w:after="0"/>
        <w:rPr>
          <w:b/>
          <w:szCs w:val="24"/>
        </w:rPr>
      </w:pPr>
      <w:r>
        <w:rPr>
          <w:b/>
          <w:szCs w:val="24"/>
        </w:rPr>
        <w:t>Příloha:</w:t>
      </w:r>
    </w:p>
    <w:p w:rsidR="00363427" w:rsidRDefault="00363427" w:rsidP="003C29FF">
      <w:pPr>
        <w:spacing w:after="0"/>
        <w:rPr>
          <w:szCs w:val="24"/>
        </w:rPr>
      </w:pPr>
      <w:r w:rsidRPr="003C29FF">
        <w:rPr>
          <w:szCs w:val="24"/>
        </w:rPr>
        <w:t xml:space="preserve">1. Přehled </w:t>
      </w:r>
      <w:r>
        <w:rPr>
          <w:szCs w:val="24"/>
        </w:rPr>
        <w:t xml:space="preserve">e-mailových adres, na které jsou e-INFO zasílána. </w:t>
      </w:r>
    </w:p>
    <w:p w:rsidR="00363427" w:rsidRPr="00BF5CD3" w:rsidRDefault="00363427" w:rsidP="00BF5CD3">
      <w:pPr>
        <w:spacing w:after="0"/>
        <w:ind w:left="284"/>
        <w:rPr>
          <w:i/>
          <w:szCs w:val="24"/>
        </w:rPr>
      </w:pPr>
      <w:r w:rsidRPr="00BF5CD3">
        <w:rPr>
          <w:i/>
          <w:szCs w:val="24"/>
        </w:rPr>
        <w:t xml:space="preserve">(pokud chcete změnit kontaktní osobu - statutárního zástupce nebo rozšířit o další pracovníky, je nutné zaslat údaje: příjmení, jméno, funkce, mailovou adresu) – zaslat na </w:t>
      </w:r>
      <w:hyperlink r:id="rId18" w:history="1">
        <w:r w:rsidRPr="00BF5CD3">
          <w:rPr>
            <w:rStyle w:val="Hyperlink"/>
            <w:i/>
            <w:szCs w:val="24"/>
          </w:rPr>
          <w:t>sport@msmt.cz</w:t>
        </w:r>
      </w:hyperlink>
      <w:r w:rsidRPr="00BF5CD3">
        <w:rPr>
          <w:i/>
          <w:szCs w:val="24"/>
        </w:rPr>
        <w:t>.</w:t>
      </w:r>
    </w:p>
    <w:p w:rsidR="00363427" w:rsidRDefault="00363427" w:rsidP="003C29FF">
      <w:pPr>
        <w:spacing w:after="0"/>
        <w:rPr>
          <w:szCs w:val="24"/>
        </w:rPr>
      </w:pPr>
    </w:p>
    <w:p w:rsidR="00363427" w:rsidRDefault="00363427" w:rsidP="003C29FF">
      <w:pPr>
        <w:spacing w:after="0"/>
        <w:rPr>
          <w:sz w:val="20"/>
          <w:szCs w:val="24"/>
        </w:rPr>
      </w:pPr>
    </w:p>
    <w:p w:rsidR="00363427" w:rsidRDefault="00363427" w:rsidP="003C29FF">
      <w:pPr>
        <w:spacing w:after="0"/>
        <w:rPr>
          <w:sz w:val="20"/>
          <w:szCs w:val="24"/>
        </w:rPr>
      </w:pPr>
      <w:r w:rsidRPr="005A7F0E">
        <w:rPr>
          <w:sz w:val="20"/>
          <w:szCs w:val="24"/>
        </w:rPr>
        <w:t xml:space="preserve">Dne: </w:t>
      </w:r>
      <w:r>
        <w:rPr>
          <w:sz w:val="20"/>
          <w:szCs w:val="24"/>
        </w:rPr>
        <w:t>10. 5. 2012</w:t>
      </w:r>
    </w:p>
    <w:p w:rsidR="00363427" w:rsidRDefault="00363427" w:rsidP="003C29FF">
      <w:pPr>
        <w:spacing w:after="0"/>
        <w:rPr>
          <w:sz w:val="20"/>
          <w:szCs w:val="24"/>
        </w:rPr>
      </w:pPr>
    </w:p>
    <w:p w:rsidR="00363427" w:rsidRDefault="00363427" w:rsidP="003C29FF">
      <w:pPr>
        <w:spacing w:after="0"/>
        <w:rPr>
          <w:sz w:val="20"/>
          <w:szCs w:val="24"/>
        </w:rPr>
      </w:pPr>
    </w:p>
    <w:p w:rsidR="00363427" w:rsidRPr="005A7F0E" w:rsidRDefault="00363427" w:rsidP="003C29FF">
      <w:pPr>
        <w:spacing w:after="0"/>
        <w:rPr>
          <w:sz w:val="20"/>
          <w:szCs w:val="24"/>
        </w:rPr>
      </w:pPr>
    </w:p>
    <w:p w:rsidR="00363427" w:rsidRPr="005A7F0E" w:rsidRDefault="00363427" w:rsidP="003C29FF">
      <w:pPr>
        <w:spacing w:after="0"/>
        <w:rPr>
          <w:sz w:val="20"/>
          <w:szCs w:val="24"/>
        </w:rPr>
      </w:pPr>
      <w:r w:rsidRPr="005A7F0E">
        <w:rPr>
          <w:sz w:val="20"/>
          <w:szCs w:val="24"/>
        </w:rPr>
        <w:t xml:space="preserve">Zpracoval tým pracovníků </w:t>
      </w:r>
    </w:p>
    <w:p w:rsidR="00363427" w:rsidRPr="005A7F0E" w:rsidRDefault="00363427" w:rsidP="003C29FF">
      <w:pPr>
        <w:spacing w:after="0"/>
        <w:rPr>
          <w:sz w:val="20"/>
          <w:szCs w:val="24"/>
        </w:rPr>
      </w:pPr>
      <w:r w:rsidRPr="005A7F0E">
        <w:rPr>
          <w:sz w:val="20"/>
          <w:szCs w:val="24"/>
        </w:rPr>
        <w:t xml:space="preserve">pod vedením </w:t>
      </w:r>
    </w:p>
    <w:p w:rsidR="00363427" w:rsidRPr="005A7F0E" w:rsidRDefault="00363427" w:rsidP="003C29FF">
      <w:pPr>
        <w:spacing w:after="0"/>
        <w:rPr>
          <w:sz w:val="20"/>
          <w:szCs w:val="24"/>
        </w:rPr>
      </w:pPr>
      <w:r w:rsidRPr="005A7F0E">
        <w:rPr>
          <w:sz w:val="20"/>
          <w:szCs w:val="24"/>
        </w:rPr>
        <w:t>Dr. M. Vosyky, ředitele odboru sportu</w:t>
      </w:r>
    </w:p>
    <w:sectPr w:rsidR="00363427" w:rsidRPr="005A7F0E" w:rsidSect="00A353C4">
      <w:type w:val="continuous"/>
      <w:pgSz w:w="11906" w:h="16838"/>
      <w:pgMar w:top="962" w:right="1417" w:bottom="1417" w:left="141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427" w:rsidRDefault="00363427" w:rsidP="004366FB">
      <w:pPr>
        <w:spacing w:after="0"/>
      </w:pPr>
      <w:r>
        <w:separator/>
      </w:r>
    </w:p>
  </w:endnote>
  <w:endnote w:type="continuationSeparator" w:id="1">
    <w:p w:rsidR="00363427" w:rsidRDefault="00363427" w:rsidP="004366F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427" w:rsidRDefault="00363427">
    <w:pPr>
      <w:pStyle w:val="Footer"/>
    </w:pPr>
    <w:r>
      <w:rPr>
        <w:noProof/>
        <w:lang w:eastAsia="cs-CZ"/>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matický obrazec 13" o:spid="_x0000_s2049" type="#_x0000_t176" style="position:absolute;left:0;text-align:left;margin-left:-35.85pt;margin-top:15.5pt;width:50.9pt;height:34.75pt;z-index:251660288;visibility:visible;mso-position-horizontal-relative:page;mso-position-vertical-relative:page" filled="f" fillcolor="#5c83b4" stroked="f" strokecolor="#737373">
          <v:textbox>
            <w:txbxContent>
              <w:p w:rsidR="00363427" w:rsidRDefault="00363427" w:rsidP="00834653">
                <w:pPr>
                  <w:pStyle w:val="Footer"/>
                  <w:pBdr>
                    <w:top w:val="single" w:sz="12" w:space="1" w:color="9BBB59"/>
                    <w:bottom w:val="single" w:sz="48" w:space="1" w:color="9BBB59"/>
                  </w:pBdr>
                  <w:jc w:val="center"/>
                  <w:rPr>
                    <w:sz w:val="28"/>
                    <w:szCs w:val="28"/>
                  </w:rPr>
                </w:pPr>
                <w:fldSimple w:instr="PAGE    \* MERGEFORMAT">
                  <w:r w:rsidRPr="007922E6">
                    <w:rPr>
                      <w:noProof/>
                      <w:sz w:val="28"/>
                      <w:szCs w:val="28"/>
                    </w:rPr>
                    <w:t>1</w:t>
                  </w:r>
                </w:fldSimple>
              </w:p>
            </w:txbxContent>
          </v:textbox>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427" w:rsidRDefault="00363427" w:rsidP="004366FB">
      <w:pPr>
        <w:spacing w:after="0"/>
      </w:pPr>
      <w:r>
        <w:separator/>
      </w:r>
    </w:p>
  </w:footnote>
  <w:footnote w:type="continuationSeparator" w:id="1">
    <w:p w:rsidR="00363427" w:rsidRDefault="00363427" w:rsidP="004366F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427" w:rsidRDefault="00363427" w:rsidP="009573A7">
    <w:pPr>
      <w:pStyle w:val="Header"/>
    </w:pPr>
  </w:p>
  <w:p w:rsidR="00363427" w:rsidRPr="00D066DE" w:rsidRDefault="00363427" w:rsidP="009573A7">
    <w:pPr>
      <w:pStyle w:val="Header"/>
      <w:rPr>
        <w:b/>
        <w:i/>
        <w:sz w:val="20"/>
      </w:rPr>
    </w:pPr>
    <w:r w:rsidRPr="007A3E8D">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0" o:spid="_x0000_i1029" type="#_x0000_t75" alt="LOGO_MSMT_nove_Platne.jpg" style="width:72.75pt;height:22.5pt;visibility:visible">
          <v:imagedata r:id="rId1" o:title="" cropbottom="-1744f"/>
          <o:lock v:ext="edit" aspectratio="f"/>
        </v:shape>
      </w:pict>
    </w:r>
    <w:r w:rsidRPr="00D066DE">
      <w:rPr>
        <w:i/>
        <w:sz w:val="20"/>
      </w:rPr>
      <w:t xml:space="preserve">Odbor sportu MŠMT:  </w:t>
    </w:r>
    <w:hyperlink r:id="rId2" w:history="1">
      <w:r w:rsidRPr="00D066DE">
        <w:rPr>
          <w:rStyle w:val="Hyperlink"/>
          <w:i/>
          <w:sz w:val="20"/>
        </w:rPr>
        <w:t>sport@msmt.cz</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opis: LOGO_MSMT_nove.jpg" style="width:29.25pt;height:10.5pt;visibility:visible" o:bullet="t">
        <v:imagedata r:id="rId1" o:title="" cropbottom="-649f"/>
      </v:shape>
    </w:pict>
  </w:numPicBullet>
  <w:numPicBullet w:numPicBulletId="1">
    <w:pict>
      <v:shape id="_x0000_i1026" type="#_x0000_t75" style="width:11.25pt;height:11.25pt" o:bullet="t">
        <v:imagedata r:id="rId2" o:title=""/>
      </v:shape>
    </w:pict>
  </w:numPicBullet>
  <w:numPicBullet w:numPicBulletId="2">
    <w:pict>
      <v:shape id="_x0000_i1027" type="#_x0000_t75" style="width:11.25pt;height:11.25pt" o:bullet="t">
        <v:imagedata r:id="rId3" o:title=""/>
      </v:shape>
    </w:pict>
  </w:numPicBullet>
  <w:abstractNum w:abstractNumId="0">
    <w:nsid w:val="00F734B1"/>
    <w:multiLevelType w:val="hybridMultilevel"/>
    <w:tmpl w:val="98F8D02E"/>
    <w:lvl w:ilvl="0" w:tplc="04050007">
      <w:start w:val="1"/>
      <w:numFmt w:val="bullet"/>
      <w:lvlText w:val=""/>
      <w:lvlPicBulletId w:val="1"/>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91D4A40"/>
    <w:multiLevelType w:val="hybridMultilevel"/>
    <w:tmpl w:val="7FD6BD48"/>
    <w:lvl w:ilvl="0" w:tplc="C3D68A9A">
      <w:start w:val="1"/>
      <w:numFmt w:val="bullet"/>
      <w:lvlText w:val=""/>
      <w:lvlPicBulletId w:val="2"/>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2F2027E"/>
    <w:multiLevelType w:val="hybridMultilevel"/>
    <w:tmpl w:val="ABF8BEFA"/>
    <w:lvl w:ilvl="0" w:tplc="04050007">
      <w:start w:val="1"/>
      <w:numFmt w:val="bullet"/>
      <w:lvlText w:val=""/>
      <w:lvlPicBulletId w:val="1"/>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3491CDC"/>
    <w:multiLevelType w:val="hybridMultilevel"/>
    <w:tmpl w:val="C0DC3B40"/>
    <w:lvl w:ilvl="0" w:tplc="0405000F">
      <w:start w:val="1"/>
      <w:numFmt w:val="decimal"/>
      <w:lvlText w:val="%1."/>
      <w:lvlJc w:val="left"/>
      <w:pPr>
        <w:ind w:left="1778" w:hanging="360"/>
      </w:pPr>
      <w:rPr>
        <w:rFonts w:cs="Times New Roman"/>
      </w:rPr>
    </w:lvl>
    <w:lvl w:ilvl="1" w:tplc="04050019" w:tentative="1">
      <w:start w:val="1"/>
      <w:numFmt w:val="lowerLetter"/>
      <w:lvlText w:val="%2."/>
      <w:lvlJc w:val="left"/>
      <w:pPr>
        <w:ind w:left="2498" w:hanging="360"/>
      </w:pPr>
      <w:rPr>
        <w:rFonts w:cs="Times New Roman"/>
      </w:rPr>
    </w:lvl>
    <w:lvl w:ilvl="2" w:tplc="0405001B" w:tentative="1">
      <w:start w:val="1"/>
      <w:numFmt w:val="lowerRoman"/>
      <w:lvlText w:val="%3."/>
      <w:lvlJc w:val="right"/>
      <w:pPr>
        <w:ind w:left="3218" w:hanging="180"/>
      </w:pPr>
      <w:rPr>
        <w:rFonts w:cs="Times New Roman"/>
      </w:rPr>
    </w:lvl>
    <w:lvl w:ilvl="3" w:tplc="0405000F" w:tentative="1">
      <w:start w:val="1"/>
      <w:numFmt w:val="decimal"/>
      <w:lvlText w:val="%4."/>
      <w:lvlJc w:val="left"/>
      <w:pPr>
        <w:ind w:left="3938" w:hanging="360"/>
      </w:pPr>
      <w:rPr>
        <w:rFonts w:cs="Times New Roman"/>
      </w:rPr>
    </w:lvl>
    <w:lvl w:ilvl="4" w:tplc="04050019" w:tentative="1">
      <w:start w:val="1"/>
      <w:numFmt w:val="lowerLetter"/>
      <w:lvlText w:val="%5."/>
      <w:lvlJc w:val="left"/>
      <w:pPr>
        <w:ind w:left="4658" w:hanging="360"/>
      </w:pPr>
      <w:rPr>
        <w:rFonts w:cs="Times New Roman"/>
      </w:rPr>
    </w:lvl>
    <w:lvl w:ilvl="5" w:tplc="0405001B" w:tentative="1">
      <w:start w:val="1"/>
      <w:numFmt w:val="lowerRoman"/>
      <w:lvlText w:val="%6."/>
      <w:lvlJc w:val="right"/>
      <w:pPr>
        <w:ind w:left="5378" w:hanging="180"/>
      </w:pPr>
      <w:rPr>
        <w:rFonts w:cs="Times New Roman"/>
      </w:rPr>
    </w:lvl>
    <w:lvl w:ilvl="6" w:tplc="0405000F" w:tentative="1">
      <w:start w:val="1"/>
      <w:numFmt w:val="decimal"/>
      <w:lvlText w:val="%7."/>
      <w:lvlJc w:val="left"/>
      <w:pPr>
        <w:ind w:left="6098" w:hanging="360"/>
      </w:pPr>
      <w:rPr>
        <w:rFonts w:cs="Times New Roman"/>
      </w:rPr>
    </w:lvl>
    <w:lvl w:ilvl="7" w:tplc="04050019" w:tentative="1">
      <w:start w:val="1"/>
      <w:numFmt w:val="lowerLetter"/>
      <w:lvlText w:val="%8."/>
      <w:lvlJc w:val="left"/>
      <w:pPr>
        <w:ind w:left="6818" w:hanging="360"/>
      </w:pPr>
      <w:rPr>
        <w:rFonts w:cs="Times New Roman"/>
      </w:rPr>
    </w:lvl>
    <w:lvl w:ilvl="8" w:tplc="0405001B" w:tentative="1">
      <w:start w:val="1"/>
      <w:numFmt w:val="lowerRoman"/>
      <w:lvlText w:val="%9."/>
      <w:lvlJc w:val="right"/>
      <w:pPr>
        <w:ind w:left="7538" w:hanging="180"/>
      </w:pPr>
      <w:rPr>
        <w:rFonts w:cs="Times New Roman"/>
      </w:rPr>
    </w:lvl>
  </w:abstractNum>
  <w:abstractNum w:abstractNumId="4">
    <w:nsid w:val="15580D23"/>
    <w:multiLevelType w:val="hybridMultilevel"/>
    <w:tmpl w:val="42A65AC8"/>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7343C16"/>
    <w:multiLevelType w:val="hybridMultilevel"/>
    <w:tmpl w:val="240AECB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27AE0A33"/>
    <w:multiLevelType w:val="hybridMultilevel"/>
    <w:tmpl w:val="F678FC6E"/>
    <w:lvl w:ilvl="0" w:tplc="27FC5D1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88412FF"/>
    <w:multiLevelType w:val="hybridMultilevel"/>
    <w:tmpl w:val="0A56F524"/>
    <w:lvl w:ilvl="0" w:tplc="04050007">
      <w:start w:val="1"/>
      <w:numFmt w:val="bullet"/>
      <w:lvlText w:val=""/>
      <w:lvlPicBulletId w:val="1"/>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8E33FD7"/>
    <w:multiLevelType w:val="hybridMultilevel"/>
    <w:tmpl w:val="7A04631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33D52AFF"/>
    <w:multiLevelType w:val="hybridMultilevel"/>
    <w:tmpl w:val="872C35CC"/>
    <w:lvl w:ilvl="0" w:tplc="04050007">
      <w:start w:val="1"/>
      <w:numFmt w:val="bullet"/>
      <w:lvlText w:val=""/>
      <w:lvlPicBulletId w:val="1"/>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D7E5ADC"/>
    <w:multiLevelType w:val="hybridMultilevel"/>
    <w:tmpl w:val="6EA412F6"/>
    <w:lvl w:ilvl="0" w:tplc="C3D68A9A">
      <w:start w:val="1"/>
      <w:numFmt w:val="bullet"/>
      <w:lvlText w:val=""/>
      <w:lvlPicBulletId w:val="2"/>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1F33CAA"/>
    <w:multiLevelType w:val="hybridMultilevel"/>
    <w:tmpl w:val="05E221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5C725E0D"/>
    <w:multiLevelType w:val="hybridMultilevel"/>
    <w:tmpl w:val="ABE01F00"/>
    <w:lvl w:ilvl="0" w:tplc="0976693E">
      <w:start w:val="1"/>
      <w:numFmt w:val="lowerLetter"/>
      <w:lvlText w:val="%1)"/>
      <w:lvlJc w:val="left"/>
      <w:pPr>
        <w:tabs>
          <w:tab w:val="num" w:pos="783"/>
        </w:tabs>
        <w:ind w:left="783" w:hanging="423"/>
      </w:pPr>
      <w:rPr>
        <w:rFonts w:cs="Times New Roman" w:hint="default"/>
        <w:b w:val="0"/>
        <w:i w:val="0"/>
      </w:rPr>
    </w:lvl>
    <w:lvl w:ilvl="1" w:tplc="04050001">
      <w:start w:val="1"/>
      <w:numFmt w:val="bullet"/>
      <w:lvlText w:val=""/>
      <w:lvlJc w:val="left"/>
      <w:pPr>
        <w:tabs>
          <w:tab w:val="num" w:pos="1440"/>
        </w:tabs>
        <w:ind w:left="1440" w:hanging="360"/>
      </w:pPr>
      <w:rPr>
        <w:rFonts w:ascii="Symbol" w:hAnsi="Symbol" w:hint="default"/>
        <w:b w:val="0"/>
        <w:i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6AB61B76"/>
    <w:multiLevelType w:val="hybridMultilevel"/>
    <w:tmpl w:val="4D1EE236"/>
    <w:lvl w:ilvl="0" w:tplc="0405000F">
      <w:start w:val="1"/>
      <w:numFmt w:val="decimal"/>
      <w:lvlText w:val="%1."/>
      <w:lvlJc w:val="left"/>
      <w:pPr>
        <w:ind w:left="1146"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79DB14CF"/>
    <w:multiLevelType w:val="hybridMultilevel"/>
    <w:tmpl w:val="DE4A526C"/>
    <w:lvl w:ilvl="0" w:tplc="0976693E">
      <w:start w:val="1"/>
      <w:numFmt w:val="lowerLetter"/>
      <w:lvlText w:val="%1)"/>
      <w:lvlJc w:val="left"/>
      <w:pPr>
        <w:tabs>
          <w:tab w:val="num" w:pos="423"/>
        </w:tabs>
        <w:ind w:left="423" w:hanging="423"/>
      </w:pPr>
      <w:rPr>
        <w:rFonts w:cs="Times New Roman" w:hint="default"/>
        <w:b w:val="0"/>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2"/>
  </w:num>
  <w:num w:numId="3">
    <w:abstractNumId w:val="4"/>
  </w:num>
  <w:num w:numId="4">
    <w:abstractNumId w:val="10"/>
  </w:num>
  <w:num w:numId="5">
    <w:abstractNumId w:val="11"/>
  </w:num>
  <w:num w:numId="6">
    <w:abstractNumId w:val="6"/>
  </w:num>
  <w:num w:numId="7">
    <w:abstractNumId w:val="1"/>
  </w:num>
  <w:num w:numId="8">
    <w:abstractNumId w:val="3"/>
  </w:num>
  <w:num w:numId="9">
    <w:abstractNumId w:val="5"/>
  </w:num>
  <w:num w:numId="10">
    <w:abstractNumId w:val="14"/>
  </w:num>
  <w:num w:numId="11">
    <w:abstractNumId w:val="13"/>
  </w:num>
  <w:num w:numId="12">
    <w:abstractNumId w:val="8"/>
  </w:num>
  <w:num w:numId="13">
    <w:abstractNumId w:val="12"/>
  </w:num>
  <w:num w:numId="14">
    <w:abstractNumId w:val="0"/>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09B1"/>
    <w:rsid w:val="00000380"/>
    <w:rsid w:val="0000217D"/>
    <w:rsid w:val="00016E1D"/>
    <w:rsid w:val="00017249"/>
    <w:rsid w:val="0002132D"/>
    <w:rsid w:val="0002184C"/>
    <w:rsid w:val="0002533D"/>
    <w:rsid w:val="0003116E"/>
    <w:rsid w:val="00035063"/>
    <w:rsid w:val="00035ADF"/>
    <w:rsid w:val="00035DA0"/>
    <w:rsid w:val="0004116A"/>
    <w:rsid w:val="00051AA3"/>
    <w:rsid w:val="00052DF2"/>
    <w:rsid w:val="00053020"/>
    <w:rsid w:val="00055696"/>
    <w:rsid w:val="00055793"/>
    <w:rsid w:val="000571C1"/>
    <w:rsid w:val="00061F61"/>
    <w:rsid w:val="0006524A"/>
    <w:rsid w:val="0006626B"/>
    <w:rsid w:val="0006637D"/>
    <w:rsid w:val="00070880"/>
    <w:rsid w:val="00072238"/>
    <w:rsid w:val="0007235B"/>
    <w:rsid w:val="000745DC"/>
    <w:rsid w:val="00075557"/>
    <w:rsid w:val="000759AB"/>
    <w:rsid w:val="000764F3"/>
    <w:rsid w:val="00077F6A"/>
    <w:rsid w:val="000854F1"/>
    <w:rsid w:val="0008751F"/>
    <w:rsid w:val="00090839"/>
    <w:rsid w:val="00092C46"/>
    <w:rsid w:val="00095C3C"/>
    <w:rsid w:val="00097ABC"/>
    <w:rsid w:val="000A322B"/>
    <w:rsid w:val="000A454E"/>
    <w:rsid w:val="000A4E3F"/>
    <w:rsid w:val="000A578B"/>
    <w:rsid w:val="000B0A47"/>
    <w:rsid w:val="000B269F"/>
    <w:rsid w:val="000B37A9"/>
    <w:rsid w:val="000B40E8"/>
    <w:rsid w:val="000B54D1"/>
    <w:rsid w:val="000B58E0"/>
    <w:rsid w:val="000B6374"/>
    <w:rsid w:val="000C0F8D"/>
    <w:rsid w:val="000C36F8"/>
    <w:rsid w:val="000C6B97"/>
    <w:rsid w:val="000C6F6C"/>
    <w:rsid w:val="000D475D"/>
    <w:rsid w:val="000D6EC2"/>
    <w:rsid w:val="000E160D"/>
    <w:rsid w:val="000F12E9"/>
    <w:rsid w:val="000F5A23"/>
    <w:rsid w:val="000F6508"/>
    <w:rsid w:val="000F678D"/>
    <w:rsid w:val="001004C2"/>
    <w:rsid w:val="001032F7"/>
    <w:rsid w:val="001037CD"/>
    <w:rsid w:val="00103CD2"/>
    <w:rsid w:val="00116E42"/>
    <w:rsid w:val="00122C2F"/>
    <w:rsid w:val="00131057"/>
    <w:rsid w:val="001357BA"/>
    <w:rsid w:val="00137552"/>
    <w:rsid w:val="001378C1"/>
    <w:rsid w:val="00137A2D"/>
    <w:rsid w:val="001423EE"/>
    <w:rsid w:val="00145265"/>
    <w:rsid w:val="00146219"/>
    <w:rsid w:val="00147F09"/>
    <w:rsid w:val="00154C7C"/>
    <w:rsid w:val="00154F9D"/>
    <w:rsid w:val="0016223D"/>
    <w:rsid w:val="0017357C"/>
    <w:rsid w:val="00175029"/>
    <w:rsid w:val="00176639"/>
    <w:rsid w:val="00180BAF"/>
    <w:rsid w:val="00181AC4"/>
    <w:rsid w:val="0018561E"/>
    <w:rsid w:val="00186985"/>
    <w:rsid w:val="001914C0"/>
    <w:rsid w:val="0019352B"/>
    <w:rsid w:val="0019526E"/>
    <w:rsid w:val="00195B2A"/>
    <w:rsid w:val="001970B0"/>
    <w:rsid w:val="0019773D"/>
    <w:rsid w:val="001A0737"/>
    <w:rsid w:val="001A150B"/>
    <w:rsid w:val="001A27E3"/>
    <w:rsid w:val="001A35D0"/>
    <w:rsid w:val="001B0616"/>
    <w:rsid w:val="001B1778"/>
    <w:rsid w:val="001B1B32"/>
    <w:rsid w:val="001B2DBA"/>
    <w:rsid w:val="001B493F"/>
    <w:rsid w:val="001B4C35"/>
    <w:rsid w:val="001B5193"/>
    <w:rsid w:val="001C2253"/>
    <w:rsid w:val="001C5DA7"/>
    <w:rsid w:val="001C6ACC"/>
    <w:rsid w:val="001D5BF5"/>
    <w:rsid w:val="001D6C7E"/>
    <w:rsid w:val="001E2091"/>
    <w:rsid w:val="001E3C98"/>
    <w:rsid w:val="001F49CE"/>
    <w:rsid w:val="001F5B39"/>
    <w:rsid w:val="00203638"/>
    <w:rsid w:val="00204212"/>
    <w:rsid w:val="0020444C"/>
    <w:rsid w:val="00205EFB"/>
    <w:rsid w:val="00206FEB"/>
    <w:rsid w:val="00207F02"/>
    <w:rsid w:val="002104FF"/>
    <w:rsid w:val="002117F6"/>
    <w:rsid w:val="00212302"/>
    <w:rsid w:val="00212CA3"/>
    <w:rsid w:val="00212DD9"/>
    <w:rsid w:val="00213E81"/>
    <w:rsid w:val="00214944"/>
    <w:rsid w:val="00214CA1"/>
    <w:rsid w:val="0021760B"/>
    <w:rsid w:val="002218FE"/>
    <w:rsid w:val="00221B5B"/>
    <w:rsid w:val="00223E7C"/>
    <w:rsid w:val="00230C09"/>
    <w:rsid w:val="0023216A"/>
    <w:rsid w:val="0023517E"/>
    <w:rsid w:val="0023695E"/>
    <w:rsid w:val="00236A3F"/>
    <w:rsid w:val="00240252"/>
    <w:rsid w:val="00241CD6"/>
    <w:rsid w:val="0024426F"/>
    <w:rsid w:val="00246F77"/>
    <w:rsid w:val="0025024C"/>
    <w:rsid w:val="00250EB4"/>
    <w:rsid w:val="00257286"/>
    <w:rsid w:val="00261231"/>
    <w:rsid w:val="0026456F"/>
    <w:rsid w:val="00264764"/>
    <w:rsid w:val="00273024"/>
    <w:rsid w:val="002751FA"/>
    <w:rsid w:val="002802D7"/>
    <w:rsid w:val="00282EF0"/>
    <w:rsid w:val="0028313B"/>
    <w:rsid w:val="00284E73"/>
    <w:rsid w:val="00287DC5"/>
    <w:rsid w:val="00294267"/>
    <w:rsid w:val="002961AD"/>
    <w:rsid w:val="00297E99"/>
    <w:rsid w:val="002A08B8"/>
    <w:rsid w:val="002A452B"/>
    <w:rsid w:val="002A6733"/>
    <w:rsid w:val="002A7563"/>
    <w:rsid w:val="002A7936"/>
    <w:rsid w:val="002A7C8F"/>
    <w:rsid w:val="002B07E8"/>
    <w:rsid w:val="002B2741"/>
    <w:rsid w:val="002B5394"/>
    <w:rsid w:val="002B7840"/>
    <w:rsid w:val="002C08EA"/>
    <w:rsid w:val="002C4CEA"/>
    <w:rsid w:val="002D0650"/>
    <w:rsid w:val="002D1C3B"/>
    <w:rsid w:val="002E4DC6"/>
    <w:rsid w:val="002E707A"/>
    <w:rsid w:val="002E7542"/>
    <w:rsid w:val="002E7FFB"/>
    <w:rsid w:val="002F102F"/>
    <w:rsid w:val="002F5E0A"/>
    <w:rsid w:val="002F5FBE"/>
    <w:rsid w:val="002F68C3"/>
    <w:rsid w:val="00302914"/>
    <w:rsid w:val="00303EA2"/>
    <w:rsid w:val="0030768F"/>
    <w:rsid w:val="00307B34"/>
    <w:rsid w:val="003105B6"/>
    <w:rsid w:val="00313803"/>
    <w:rsid w:val="00315C54"/>
    <w:rsid w:val="00317EBB"/>
    <w:rsid w:val="00320C1B"/>
    <w:rsid w:val="00320F82"/>
    <w:rsid w:val="00322794"/>
    <w:rsid w:val="00322C2B"/>
    <w:rsid w:val="0033114B"/>
    <w:rsid w:val="00332CEB"/>
    <w:rsid w:val="00335C6A"/>
    <w:rsid w:val="00342DD3"/>
    <w:rsid w:val="00342DDF"/>
    <w:rsid w:val="00351A6B"/>
    <w:rsid w:val="0035276C"/>
    <w:rsid w:val="00353AA6"/>
    <w:rsid w:val="00356D41"/>
    <w:rsid w:val="003601B4"/>
    <w:rsid w:val="00361A9F"/>
    <w:rsid w:val="00362E44"/>
    <w:rsid w:val="00363427"/>
    <w:rsid w:val="00367A51"/>
    <w:rsid w:val="003723FA"/>
    <w:rsid w:val="003724CB"/>
    <w:rsid w:val="003726BA"/>
    <w:rsid w:val="003728E9"/>
    <w:rsid w:val="00376362"/>
    <w:rsid w:val="003776DC"/>
    <w:rsid w:val="003820BF"/>
    <w:rsid w:val="00382363"/>
    <w:rsid w:val="003849ED"/>
    <w:rsid w:val="00384D32"/>
    <w:rsid w:val="00385B3B"/>
    <w:rsid w:val="00387AAD"/>
    <w:rsid w:val="00390327"/>
    <w:rsid w:val="00391D65"/>
    <w:rsid w:val="003930EF"/>
    <w:rsid w:val="00396009"/>
    <w:rsid w:val="00397729"/>
    <w:rsid w:val="00397A30"/>
    <w:rsid w:val="003A2D68"/>
    <w:rsid w:val="003A4CD8"/>
    <w:rsid w:val="003A5D18"/>
    <w:rsid w:val="003A5DB0"/>
    <w:rsid w:val="003A6A0A"/>
    <w:rsid w:val="003B2CEA"/>
    <w:rsid w:val="003B3B5B"/>
    <w:rsid w:val="003B69D8"/>
    <w:rsid w:val="003C280D"/>
    <w:rsid w:val="003C29FF"/>
    <w:rsid w:val="003C775F"/>
    <w:rsid w:val="003D5493"/>
    <w:rsid w:val="003E2854"/>
    <w:rsid w:val="003E39F5"/>
    <w:rsid w:val="003F2623"/>
    <w:rsid w:val="003F336D"/>
    <w:rsid w:val="003F35AA"/>
    <w:rsid w:val="003F4DA3"/>
    <w:rsid w:val="003F58FB"/>
    <w:rsid w:val="00401811"/>
    <w:rsid w:val="00402C1C"/>
    <w:rsid w:val="00402F34"/>
    <w:rsid w:val="00405481"/>
    <w:rsid w:val="004061EB"/>
    <w:rsid w:val="00410FC5"/>
    <w:rsid w:val="00413AAE"/>
    <w:rsid w:val="00415619"/>
    <w:rsid w:val="00415DDE"/>
    <w:rsid w:val="00422953"/>
    <w:rsid w:val="0042501B"/>
    <w:rsid w:val="00425507"/>
    <w:rsid w:val="00425D63"/>
    <w:rsid w:val="00426B90"/>
    <w:rsid w:val="0043386F"/>
    <w:rsid w:val="004366FB"/>
    <w:rsid w:val="004431BD"/>
    <w:rsid w:val="00445BE5"/>
    <w:rsid w:val="004469D4"/>
    <w:rsid w:val="004504F9"/>
    <w:rsid w:val="00450CC3"/>
    <w:rsid w:val="0045260E"/>
    <w:rsid w:val="00452636"/>
    <w:rsid w:val="00452C7C"/>
    <w:rsid w:val="00453403"/>
    <w:rsid w:val="00455720"/>
    <w:rsid w:val="00462518"/>
    <w:rsid w:val="00466842"/>
    <w:rsid w:val="004669E1"/>
    <w:rsid w:val="00467313"/>
    <w:rsid w:val="00467A55"/>
    <w:rsid w:val="00471201"/>
    <w:rsid w:val="00471716"/>
    <w:rsid w:val="0047345B"/>
    <w:rsid w:val="00475F81"/>
    <w:rsid w:val="00480CE5"/>
    <w:rsid w:val="00481C34"/>
    <w:rsid w:val="0048727F"/>
    <w:rsid w:val="00487D52"/>
    <w:rsid w:val="0049076F"/>
    <w:rsid w:val="004913C1"/>
    <w:rsid w:val="00492E8B"/>
    <w:rsid w:val="00495726"/>
    <w:rsid w:val="004964FF"/>
    <w:rsid w:val="004A0B5C"/>
    <w:rsid w:val="004A60E7"/>
    <w:rsid w:val="004B2D85"/>
    <w:rsid w:val="004B461B"/>
    <w:rsid w:val="004B4919"/>
    <w:rsid w:val="004B58FC"/>
    <w:rsid w:val="004B79AD"/>
    <w:rsid w:val="004C0D8E"/>
    <w:rsid w:val="004C0F9C"/>
    <w:rsid w:val="004C2462"/>
    <w:rsid w:val="004C5A26"/>
    <w:rsid w:val="004C6F44"/>
    <w:rsid w:val="004D4668"/>
    <w:rsid w:val="004D46A9"/>
    <w:rsid w:val="004D4937"/>
    <w:rsid w:val="004D55F9"/>
    <w:rsid w:val="004D7C8A"/>
    <w:rsid w:val="004D7EEF"/>
    <w:rsid w:val="004E0B11"/>
    <w:rsid w:val="004E3C65"/>
    <w:rsid w:val="004E3E17"/>
    <w:rsid w:val="004E4FEF"/>
    <w:rsid w:val="004F15B7"/>
    <w:rsid w:val="004F1967"/>
    <w:rsid w:val="004F2503"/>
    <w:rsid w:val="004F2C9F"/>
    <w:rsid w:val="004F38AB"/>
    <w:rsid w:val="004F4E53"/>
    <w:rsid w:val="004F72DA"/>
    <w:rsid w:val="005004E7"/>
    <w:rsid w:val="00500A08"/>
    <w:rsid w:val="00500FC8"/>
    <w:rsid w:val="00502682"/>
    <w:rsid w:val="00502C61"/>
    <w:rsid w:val="00505950"/>
    <w:rsid w:val="00506457"/>
    <w:rsid w:val="005102F0"/>
    <w:rsid w:val="005156E5"/>
    <w:rsid w:val="00521144"/>
    <w:rsid w:val="00521EA7"/>
    <w:rsid w:val="00523045"/>
    <w:rsid w:val="00525068"/>
    <w:rsid w:val="005269AF"/>
    <w:rsid w:val="005316EA"/>
    <w:rsid w:val="005326AF"/>
    <w:rsid w:val="00537263"/>
    <w:rsid w:val="00537306"/>
    <w:rsid w:val="00540441"/>
    <w:rsid w:val="0054352F"/>
    <w:rsid w:val="00553DB2"/>
    <w:rsid w:val="00553FD3"/>
    <w:rsid w:val="005540F6"/>
    <w:rsid w:val="005563F3"/>
    <w:rsid w:val="00566CEC"/>
    <w:rsid w:val="00567A66"/>
    <w:rsid w:val="005735F5"/>
    <w:rsid w:val="0057492B"/>
    <w:rsid w:val="0057637C"/>
    <w:rsid w:val="00576DD6"/>
    <w:rsid w:val="00577150"/>
    <w:rsid w:val="00577A91"/>
    <w:rsid w:val="005810DB"/>
    <w:rsid w:val="00583F86"/>
    <w:rsid w:val="0058676F"/>
    <w:rsid w:val="00592FEE"/>
    <w:rsid w:val="00593015"/>
    <w:rsid w:val="005941D4"/>
    <w:rsid w:val="00594A2F"/>
    <w:rsid w:val="005953B2"/>
    <w:rsid w:val="005A10A9"/>
    <w:rsid w:val="005A231A"/>
    <w:rsid w:val="005A39C8"/>
    <w:rsid w:val="005A6283"/>
    <w:rsid w:val="005A6873"/>
    <w:rsid w:val="005A7F0E"/>
    <w:rsid w:val="005B546F"/>
    <w:rsid w:val="005C0470"/>
    <w:rsid w:val="005C4CA4"/>
    <w:rsid w:val="005C5994"/>
    <w:rsid w:val="005D01E5"/>
    <w:rsid w:val="005D216E"/>
    <w:rsid w:val="005D6D5A"/>
    <w:rsid w:val="005E4144"/>
    <w:rsid w:val="005E6519"/>
    <w:rsid w:val="005F6B00"/>
    <w:rsid w:val="00603000"/>
    <w:rsid w:val="00610146"/>
    <w:rsid w:val="0061225F"/>
    <w:rsid w:val="006123E7"/>
    <w:rsid w:val="00615503"/>
    <w:rsid w:val="00624B1A"/>
    <w:rsid w:val="006250E0"/>
    <w:rsid w:val="006257CA"/>
    <w:rsid w:val="00625A49"/>
    <w:rsid w:val="00637EAA"/>
    <w:rsid w:val="006419B2"/>
    <w:rsid w:val="006437F2"/>
    <w:rsid w:val="00644498"/>
    <w:rsid w:val="00650F02"/>
    <w:rsid w:val="00651767"/>
    <w:rsid w:val="00657871"/>
    <w:rsid w:val="00664A12"/>
    <w:rsid w:val="006659E9"/>
    <w:rsid w:val="00672A4D"/>
    <w:rsid w:val="00673430"/>
    <w:rsid w:val="006736A8"/>
    <w:rsid w:val="00673DC3"/>
    <w:rsid w:val="00680A9C"/>
    <w:rsid w:val="00681300"/>
    <w:rsid w:val="00684043"/>
    <w:rsid w:val="0068500C"/>
    <w:rsid w:val="00693031"/>
    <w:rsid w:val="006963F5"/>
    <w:rsid w:val="006A2EB9"/>
    <w:rsid w:val="006A5CE4"/>
    <w:rsid w:val="006A6D66"/>
    <w:rsid w:val="006B0AC7"/>
    <w:rsid w:val="006B1147"/>
    <w:rsid w:val="006B1910"/>
    <w:rsid w:val="006B2DB0"/>
    <w:rsid w:val="006B4444"/>
    <w:rsid w:val="006B5025"/>
    <w:rsid w:val="006C349A"/>
    <w:rsid w:val="006C3E3D"/>
    <w:rsid w:val="006C6D6C"/>
    <w:rsid w:val="006D1F27"/>
    <w:rsid w:val="006D2823"/>
    <w:rsid w:val="006D30F5"/>
    <w:rsid w:val="006D3AB5"/>
    <w:rsid w:val="006E2B76"/>
    <w:rsid w:val="006E4207"/>
    <w:rsid w:val="006E5A6C"/>
    <w:rsid w:val="006E628E"/>
    <w:rsid w:val="006F5464"/>
    <w:rsid w:val="006F62A0"/>
    <w:rsid w:val="006F7FF9"/>
    <w:rsid w:val="0070045C"/>
    <w:rsid w:val="007016E9"/>
    <w:rsid w:val="007018A2"/>
    <w:rsid w:val="007052D8"/>
    <w:rsid w:val="00707928"/>
    <w:rsid w:val="007211A0"/>
    <w:rsid w:val="00725050"/>
    <w:rsid w:val="00725795"/>
    <w:rsid w:val="007313FD"/>
    <w:rsid w:val="007353B1"/>
    <w:rsid w:val="00742E64"/>
    <w:rsid w:val="00743870"/>
    <w:rsid w:val="00744557"/>
    <w:rsid w:val="007457F3"/>
    <w:rsid w:val="00752362"/>
    <w:rsid w:val="00752BBC"/>
    <w:rsid w:val="007549D6"/>
    <w:rsid w:val="007562E8"/>
    <w:rsid w:val="00757678"/>
    <w:rsid w:val="007606FC"/>
    <w:rsid w:val="00760DC3"/>
    <w:rsid w:val="00766647"/>
    <w:rsid w:val="007709CE"/>
    <w:rsid w:val="00770C5C"/>
    <w:rsid w:val="00771432"/>
    <w:rsid w:val="00773D14"/>
    <w:rsid w:val="00774FDF"/>
    <w:rsid w:val="0078156D"/>
    <w:rsid w:val="0078176E"/>
    <w:rsid w:val="007818D5"/>
    <w:rsid w:val="00784733"/>
    <w:rsid w:val="00785C55"/>
    <w:rsid w:val="00785E80"/>
    <w:rsid w:val="0078692F"/>
    <w:rsid w:val="0078787E"/>
    <w:rsid w:val="00790CE2"/>
    <w:rsid w:val="007922E6"/>
    <w:rsid w:val="0079460B"/>
    <w:rsid w:val="007955FD"/>
    <w:rsid w:val="00796890"/>
    <w:rsid w:val="00796989"/>
    <w:rsid w:val="007977DB"/>
    <w:rsid w:val="007A226F"/>
    <w:rsid w:val="007A3E8D"/>
    <w:rsid w:val="007A544D"/>
    <w:rsid w:val="007B45E7"/>
    <w:rsid w:val="007C1658"/>
    <w:rsid w:val="007C4018"/>
    <w:rsid w:val="007C7D16"/>
    <w:rsid w:val="007D0625"/>
    <w:rsid w:val="007D07AF"/>
    <w:rsid w:val="007D091E"/>
    <w:rsid w:val="007D2584"/>
    <w:rsid w:val="007D278E"/>
    <w:rsid w:val="007D3B85"/>
    <w:rsid w:val="007D4F1C"/>
    <w:rsid w:val="007E1635"/>
    <w:rsid w:val="007E1BBE"/>
    <w:rsid w:val="007E75FD"/>
    <w:rsid w:val="007E7998"/>
    <w:rsid w:val="007F1A7D"/>
    <w:rsid w:val="007F2C23"/>
    <w:rsid w:val="007F6F06"/>
    <w:rsid w:val="00802232"/>
    <w:rsid w:val="008112CA"/>
    <w:rsid w:val="00814873"/>
    <w:rsid w:val="00814C6E"/>
    <w:rsid w:val="0081663B"/>
    <w:rsid w:val="0081686B"/>
    <w:rsid w:val="0082196D"/>
    <w:rsid w:val="0082293B"/>
    <w:rsid w:val="00827213"/>
    <w:rsid w:val="00827DEE"/>
    <w:rsid w:val="00830EBF"/>
    <w:rsid w:val="00832D6A"/>
    <w:rsid w:val="00833825"/>
    <w:rsid w:val="00833C2C"/>
    <w:rsid w:val="00833E27"/>
    <w:rsid w:val="00834653"/>
    <w:rsid w:val="00834D7F"/>
    <w:rsid w:val="00836D1F"/>
    <w:rsid w:val="00837C1F"/>
    <w:rsid w:val="0084522E"/>
    <w:rsid w:val="008454A3"/>
    <w:rsid w:val="008454C2"/>
    <w:rsid w:val="00845F20"/>
    <w:rsid w:val="008466D2"/>
    <w:rsid w:val="0084682B"/>
    <w:rsid w:val="00852000"/>
    <w:rsid w:val="008533B3"/>
    <w:rsid w:val="00860ADC"/>
    <w:rsid w:val="00862979"/>
    <w:rsid w:val="00865060"/>
    <w:rsid w:val="008654FE"/>
    <w:rsid w:val="00867B1F"/>
    <w:rsid w:val="008720F9"/>
    <w:rsid w:val="00872746"/>
    <w:rsid w:val="0087567F"/>
    <w:rsid w:val="00882F60"/>
    <w:rsid w:val="00885389"/>
    <w:rsid w:val="008864DA"/>
    <w:rsid w:val="00887057"/>
    <w:rsid w:val="008873A2"/>
    <w:rsid w:val="00892400"/>
    <w:rsid w:val="00893D69"/>
    <w:rsid w:val="00895039"/>
    <w:rsid w:val="0089679E"/>
    <w:rsid w:val="00897420"/>
    <w:rsid w:val="008A1EAD"/>
    <w:rsid w:val="008A393B"/>
    <w:rsid w:val="008A440B"/>
    <w:rsid w:val="008A5160"/>
    <w:rsid w:val="008B1066"/>
    <w:rsid w:val="008B1175"/>
    <w:rsid w:val="008B2B00"/>
    <w:rsid w:val="008B31F8"/>
    <w:rsid w:val="008B4578"/>
    <w:rsid w:val="008B58A9"/>
    <w:rsid w:val="008B7072"/>
    <w:rsid w:val="008C1BA0"/>
    <w:rsid w:val="008C222A"/>
    <w:rsid w:val="008C6BEB"/>
    <w:rsid w:val="008C7122"/>
    <w:rsid w:val="008D4517"/>
    <w:rsid w:val="008D47B7"/>
    <w:rsid w:val="008D6133"/>
    <w:rsid w:val="008D79C6"/>
    <w:rsid w:val="008E1AF2"/>
    <w:rsid w:val="008E21BD"/>
    <w:rsid w:val="008E39D1"/>
    <w:rsid w:val="008E3EC2"/>
    <w:rsid w:val="008E4B45"/>
    <w:rsid w:val="008F24BB"/>
    <w:rsid w:val="008F40D7"/>
    <w:rsid w:val="008F4374"/>
    <w:rsid w:val="008F46B8"/>
    <w:rsid w:val="008F50FE"/>
    <w:rsid w:val="0090517A"/>
    <w:rsid w:val="00910BF2"/>
    <w:rsid w:val="00911DF1"/>
    <w:rsid w:val="0091284D"/>
    <w:rsid w:val="0091337F"/>
    <w:rsid w:val="00914611"/>
    <w:rsid w:val="00915529"/>
    <w:rsid w:val="00923865"/>
    <w:rsid w:val="009242AD"/>
    <w:rsid w:val="009246BA"/>
    <w:rsid w:val="009246D7"/>
    <w:rsid w:val="0092660A"/>
    <w:rsid w:val="009273D4"/>
    <w:rsid w:val="00927425"/>
    <w:rsid w:val="009314D6"/>
    <w:rsid w:val="009320DF"/>
    <w:rsid w:val="00933A7F"/>
    <w:rsid w:val="00933DE2"/>
    <w:rsid w:val="0093425B"/>
    <w:rsid w:val="009346EB"/>
    <w:rsid w:val="00935BD2"/>
    <w:rsid w:val="00940908"/>
    <w:rsid w:val="00941F38"/>
    <w:rsid w:val="00942230"/>
    <w:rsid w:val="00943055"/>
    <w:rsid w:val="00951C59"/>
    <w:rsid w:val="00954BB9"/>
    <w:rsid w:val="00954F4B"/>
    <w:rsid w:val="009560A8"/>
    <w:rsid w:val="009573A7"/>
    <w:rsid w:val="00957DC9"/>
    <w:rsid w:val="00963B17"/>
    <w:rsid w:val="0096524B"/>
    <w:rsid w:val="009662E6"/>
    <w:rsid w:val="00966B40"/>
    <w:rsid w:val="00966FF1"/>
    <w:rsid w:val="009825A0"/>
    <w:rsid w:val="00992DE5"/>
    <w:rsid w:val="00996365"/>
    <w:rsid w:val="009967E7"/>
    <w:rsid w:val="009A1BEE"/>
    <w:rsid w:val="009A49CB"/>
    <w:rsid w:val="009A653D"/>
    <w:rsid w:val="009B0F1A"/>
    <w:rsid w:val="009B3D21"/>
    <w:rsid w:val="009B449B"/>
    <w:rsid w:val="009B5A94"/>
    <w:rsid w:val="009B6E5B"/>
    <w:rsid w:val="009C0A90"/>
    <w:rsid w:val="009C3E16"/>
    <w:rsid w:val="009C61A7"/>
    <w:rsid w:val="009D21E2"/>
    <w:rsid w:val="009D60AA"/>
    <w:rsid w:val="009E351C"/>
    <w:rsid w:val="00A06232"/>
    <w:rsid w:val="00A06A86"/>
    <w:rsid w:val="00A07756"/>
    <w:rsid w:val="00A10909"/>
    <w:rsid w:val="00A1336A"/>
    <w:rsid w:val="00A1341C"/>
    <w:rsid w:val="00A14B7A"/>
    <w:rsid w:val="00A15291"/>
    <w:rsid w:val="00A15CFE"/>
    <w:rsid w:val="00A17128"/>
    <w:rsid w:val="00A20A37"/>
    <w:rsid w:val="00A220CB"/>
    <w:rsid w:val="00A22B50"/>
    <w:rsid w:val="00A2376A"/>
    <w:rsid w:val="00A26C95"/>
    <w:rsid w:val="00A328A6"/>
    <w:rsid w:val="00A32A9D"/>
    <w:rsid w:val="00A32BC1"/>
    <w:rsid w:val="00A32CCF"/>
    <w:rsid w:val="00A32D65"/>
    <w:rsid w:val="00A353C4"/>
    <w:rsid w:val="00A419FA"/>
    <w:rsid w:val="00A42F67"/>
    <w:rsid w:val="00A439D3"/>
    <w:rsid w:val="00A47DDE"/>
    <w:rsid w:val="00A506E1"/>
    <w:rsid w:val="00A508DA"/>
    <w:rsid w:val="00A53370"/>
    <w:rsid w:val="00A538E9"/>
    <w:rsid w:val="00A53C73"/>
    <w:rsid w:val="00A577E6"/>
    <w:rsid w:val="00A617E0"/>
    <w:rsid w:val="00A623E8"/>
    <w:rsid w:val="00A63966"/>
    <w:rsid w:val="00A648C0"/>
    <w:rsid w:val="00A65153"/>
    <w:rsid w:val="00A660E2"/>
    <w:rsid w:val="00A709BE"/>
    <w:rsid w:val="00A72F83"/>
    <w:rsid w:val="00A73E68"/>
    <w:rsid w:val="00A775CE"/>
    <w:rsid w:val="00A818A8"/>
    <w:rsid w:val="00A83A0C"/>
    <w:rsid w:val="00A84004"/>
    <w:rsid w:val="00A87A0F"/>
    <w:rsid w:val="00A87D9F"/>
    <w:rsid w:val="00AA11B0"/>
    <w:rsid w:val="00AA32D7"/>
    <w:rsid w:val="00AA557B"/>
    <w:rsid w:val="00AA608D"/>
    <w:rsid w:val="00AA6D3E"/>
    <w:rsid w:val="00AA74FC"/>
    <w:rsid w:val="00AB0D6D"/>
    <w:rsid w:val="00AB1052"/>
    <w:rsid w:val="00AB4141"/>
    <w:rsid w:val="00AB4DBB"/>
    <w:rsid w:val="00AB5E45"/>
    <w:rsid w:val="00AB630D"/>
    <w:rsid w:val="00AB76CA"/>
    <w:rsid w:val="00AB7D2B"/>
    <w:rsid w:val="00AC100C"/>
    <w:rsid w:val="00AC21AF"/>
    <w:rsid w:val="00AC234E"/>
    <w:rsid w:val="00AC3334"/>
    <w:rsid w:val="00AD0FE2"/>
    <w:rsid w:val="00AD1D14"/>
    <w:rsid w:val="00AD45AF"/>
    <w:rsid w:val="00AE06B4"/>
    <w:rsid w:val="00AE68A9"/>
    <w:rsid w:val="00AF0701"/>
    <w:rsid w:val="00AF0F6B"/>
    <w:rsid w:val="00AF14C9"/>
    <w:rsid w:val="00AF345C"/>
    <w:rsid w:val="00AF65D1"/>
    <w:rsid w:val="00AF7068"/>
    <w:rsid w:val="00B01FAA"/>
    <w:rsid w:val="00B03618"/>
    <w:rsid w:val="00B04A27"/>
    <w:rsid w:val="00B05673"/>
    <w:rsid w:val="00B10F43"/>
    <w:rsid w:val="00B140BB"/>
    <w:rsid w:val="00B15C39"/>
    <w:rsid w:val="00B17FF0"/>
    <w:rsid w:val="00B2182C"/>
    <w:rsid w:val="00B22664"/>
    <w:rsid w:val="00B231E2"/>
    <w:rsid w:val="00B241FA"/>
    <w:rsid w:val="00B26907"/>
    <w:rsid w:val="00B26C82"/>
    <w:rsid w:val="00B31E3A"/>
    <w:rsid w:val="00B340D6"/>
    <w:rsid w:val="00B41F78"/>
    <w:rsid w:val="00B44B6A"/>
    <w:rsid w:val="00B45376"/>
    <w:rsid w:val="00B46C20"/>
    <w:rsid w:val="00B53772"/>
    <w:rsid w:val="00B57C14"/>
    <w:rsid w:val="00B6155E"/>
    <w:rsid w:val="00B6354E"/>
    <w:rsid w:val="00B64F04"/>
    <w:rsid w:val="00B6505A"/>
    <w:rsid w:val="00B65E14"/>
    <w:rsid w:val="00B74374"/>
    <w:rsid w:val="00B82929"/>
    <w:rsid w:val="00B83C5A"/>
    <w:rsid w:val="00B84968"/>
    <w:rsid w:val="00B85AB2"/>
    <w:rsid w:val="00B875DC"/>
    <w:rsid w:val="00B92CB7"/>
    <w:rsid w:val="00B955D4"/>
    <w:rsid w:val="00B96A8E"/>
    <w:rsid w:val="00BA1CCF"/>
    <w:rsid w:val="00BA3C32"/>
    <w:rsid w:val="00BA636B"/>
    <w:rsid w:val="00BA6AB5"/>
    <w:rsid w:val="00BA76E4"/>
    <w:rsid w:val="00BB1196"/>
    <w:rsid w:val="00BB1271"/>
    <w:rsid w:val="00BB2458"/>
    <w:rsid w:val="00BB6B86"/>
    <w:rsid w:val="00BC41EF"/>
    <w:rsid w:val="00BC6E06"/>
    <w:rsid w:val="00BD03A1"/>
    <w:rsid w:val="00BD1633"/>
    <w:rsid w:val="00BD5529"/>
    <w:rsid w:val="00BD77DE"/>
    <w:rsid w:val="00BE4307"/>
    <w:rsid w:val="00BF1899"/>
    <w:rsid w:val="00BF1A98"/>
    <w:rsid w:val="00BF2B1E"/>
    <w:rsid w:val="00BF3BBB"/>
    <w:rsid w:val="00BF5CD3"/>
    <w:rsid w:val="00BF7BCC"/>
    <w:rsid w:val="00C0552A"/>
    <w:rsid w:val="00C07396"/>
    <w:rsid w:val="00C1068F"/>
    <w:rsid w:val="00C114ED"/>
    <w:rsid w:val="00C15108"/>
    <w:rsid w:val="00C16327"/>
    <w:rsid w:val="00C166F8"/>
    <w:rsid w:val="00C16B3E"/>
    <w:rsid w:val="00C20871"/>
    <w:rsid w:val="00C22033"/>
    <w:rsid w:val="00C22C99"/>
    <w:rsid w:val="00C24A60"/>
    <w:rsid w:val="00C313B5"/>
    <w:rsid w:val="00C31813"/>
    <w:rsid w:val="00C327B8"/>
    <w:rsid w:val="00C327E2"/>
    <w:rsid w:val="00C32B71"/>
    <w:rsid w:val="00C33590"/>
    <w:rsid w:val="00C34BF4"/>
    <w:rsid w:val="00C36E82"/>
    <w:rsid w:val="00C37A5A"/>
    <w:rsid w:val="00C405DF"/>
    <w:rsid w:val="00C43D98"/>
    <w:rsid w:val="00C50289"/>
    <w:rsid w:val="00C52EE3"/>
    <w:rsid w:val="00C613FF"/>
    <w:rsid w:val="00C63F50"/>
    <w:rsid w:val="00C64661"/>
    <w:rsid w:val="00C647D6"/>
    <w:rsid w:val="00C730B0"/>
    <w:rsid w:val="00C73A8E"/>
    <w:rsid w:val="00C73D7D"/>
    <w:rsid w:val="00C76360"/>
    <w:rsid w:val="00C80162"/>
    <w:rsid w:val="00C8077A"/>
    <w:rsid w:val="00C816C7"/>
    <w:rsid w:val="00C82245"/>
    <w:rsid w:val="00C86FE6"/>
    <w:rsid w:val="00C9156D"/>
    <w:rsid w:val="00C922DE"/>
    <w:rsid w:val="00C92DDF"/>
    <w:rsid w:val="00C93775"/>
    <w:rsid w:val="00C94189"/>
    <w:rsid w:val="00C97251"/>
    <w:rsid w:val="00CA33B6"/>
    <w:rsid w:val="00CA3564"/>
    <w:rsid w:val="00CA385F"/>
    <w:rsid w:val="00CA62B3"/>
    <w:rsid w:val="00CA63BB"/>
    <w:rsid w:val="00CB4A3A"/>
    <w:rsid w:val="00CB73B9"/>
    <w:rsid w:val="00CC05D3"/>
    <w:rsid w:val="00CC1AE1"/>
    <w:rsid w:val="00CC617C"/>
    <w:rsid w:val="00CD27FE"/>
    <w:rsid w:val="00CD3EAC"/>
    <w:rsid w:val="00CD5D40"/>
    <w:rsid w:val="00CD7131"/>
    <w:rsid w:val="00CE0CBB"/>
    <w:rsid w:val="00CE2DE8"/>
    <w:rsid w:val="00CE5D94"/>
    <w:rsid w:val="00CE777A"/>
    <w:rsid w:val="00CF0468"/>
    <w:rsid w:val="00CF063B"/>
    <w:rsid w:val="00CF0652"/>
    <w:rsid w:val="00D01A75"/>
    <w:rsid w:val="00D04CC3"/>
    <w:rsid w:val="00D065D2"/>
    <w:rsid w:val="00D066DE"/>
    <w:rsid w:val="00D07836"/>
    <w:rsid w:val="00D07E45"/>
    <w:rsid w:val="00D109E5"/>
    <w:rsid w:val="00D10F83"/>
    <w:rsid w:val="00D11EC1"/>
    <w:rsid w:val="00D13322"/>
    <w:rsid w:val="00D13AF9"/>
    <w:rsid w:val="00D1478E"/>
    <w:rsid w:val="00D169A6"/>
    <w:rsid w:val="00D40863"/>
    <w:rsid w:val="00D414B9"/>
    <w:rsid w:val="00D41ECD"/>
    <w:rsid w:val="00D42DDC"/>
    <w:rsid w:val="00D45A53"/>
    <w:rsid w:val="00D470B8"/>
    <w:rsid w:val="00D50247"/>
    <w:rsid w:val="00D509B1"/>
    <w:rsid w:val="00D54105"/>
    <w:rsid w:val="00D548C8"/>
    <w:rsid w:val="00D56841"/>
    <w:rsid w:val="00D568D5"/>
    <w:rsid w:val="00D57E0D"/>
    <w:rsid w:val="00D63B47"/>
    <w:rsid w:val="00D64366"/>
    <w:rsid w:val="00D6724F"/>
    <w:rsid w:val="00D71D3B"/>
    <w:rsid w:val="00D731A7"/>
    <w:rsid w:val="00D7331A"/>
    <w:rsid w:val="00D77136"/>
    <w:rsid w:val="00D7755C"/>
    <w:rsid w:val="00D907F6"/>
    <w:rsid w:val="00D92086"/>
    <w:rsid w:val="00D93B7B"/>
    <w:rsid w:val="00D94ED0"/>
    <w:rsid w:val="00D9559D"/>
    <w:rsid w:val="00DA672A"/>
    <w:rsid w:val="00DB006C"/>
    <w:rsid w:val="00DB12C9"/>
    <w:rsid w:val="00DB15F0"/>
    <w:rsid w:val="00DB19DF"/>
    <w:rsid w:val="00DB3D4C"/>
    <w:rsid w:val="00DC0758"/>
    <w:rsid w:val="00DC0AEE"/>
    <w:rsid w:val="00DD0BD2"/>
    <w:rsid w:val="00DD3472"/>
    <w:rsid w:val="00DD3A07"/>
    <w:rsid w:val="00DD46BC"/>
    <w:rsid w:val="00DD4971"/>
    <w:rsid w:val="00DD64E7"/>
    <w:rsid w:val="00DE1CFA"/>
    <w:rsid w:val="00DE3223"/>
    <w:rsid w:val="00DE60A2"/>
    <w:rsid w:val="00DE6261"/>
    <w:rsid w:val="00DE74E8"/>
    <w:rsid w:val="00DE75FE"/>
    <w:rsid w:val="00DF38FE"/>
    <w:rsid w:val="00DF44CF"/>
    <w:rsid w:val="00E0429A"/>
    <w:rsid w:val="00E042C1"/>
    <w:rsid w:val="00E07D03"/>
    <w:rsid w:val="00E10487"/>
    <w:rsid w:val="00E16143"/>
    <w:rsid w:val="00E22D9A"/>
    <w:rsid w:val="00E23C2A"/>
    <w:rsid w:val="00E244DC"/>
    <w:rsid w:val="00E267B8"/>
    <w:rsid w:val="00E26D1D"/>
    <w:rsid w:val="00E27C74"/>
    <w:rsid w:val="00E323EB"/>
    <w:rsid w:val="00E32879"/>
    <w:rsid w:val="00E34280"/>
    <w:rsid w:val="00E40793"/>
    <w:rsid w:val="00E420A4"/>
    <w:rsid w:val="00E43FAA"/>
    <w:rsid w:val="00E45E33"/>
    <w:rsid w:val="00E46631"/>
    <w:rsid w:val="00E46695"/>
    <w:rsid w:val="00E46AC4"/>
    <w:rsid w:val="00E46B33"/>
    <w:rsid w:val="00E46CA9"/>
    <w:rsid w:val="00E54817"/>
    <w:rsid w:val="00E54FE2"/>
    <w:rsid w:val="00E556F7"/>
    <w:rsid w:val="00E56191"/>
    <w:rsid w:val="00E60152"/>
    <w:rsid w:val="00E630B0"/>
    <w:rsid w:val="00E63384"/>
    <w:rsid w:val="00E638CB"/>
    <w:rsid w:val="00E66A10"/>
    <w:rsid w:val="00E674E8"/>
    <w:rsid w:val="00E7685D"/>
    <w:rsid w:val="00E8009D"/>
    <w:rsid w:val="00E85754"/>
    <w:rsid w:val="00E91324"/>
    <w:rsid w:val="00E9159F"/>
    <w:rsid w:val="00E92515"/>
    <w:rsid w:val="00EA0908"/>
    <w:rsid w:val="00EA52DA"/>
    <w:rsid w:val="00EA5E18"/>
    <w:rsid w:val="00EA6A41"/>
    <w:rsid w:val="00EB08DB"/>
    <w:rsid w:val="00EB1EDD"/>
    <w:rsid w:val="00EB4567"/>
    <w:rsid w:val="00EB4952"/>
    <w:rsid w:val="00EB51E0"/>
    <w:rsid w:val="00EB5423"/>
    <w:rsid w:val="00EB5B2B"/>
    <w:rsid w:val="00EC0330"/>
    <w:rsid w:val="00EC3B5B"/>
    <w:rsid w:val="00EC6E0A"/>
    <w:rsid w:val="00EC7139"/>
    <w:rsid w:val="00EC72D6"/>
    <w:rsid w:val="00ED35F1"/>
    <w:rsid w:val="00ED486C"/>
    <w:rsid w:val="00ED64FE"/>
    <w:rsid w:val="00ED79A4"/>
    <w:rsid w:val="00EE2614"/>
    <w:rsid w:val="00EE4DBF"/>
    <w:rsid w:val="00EE5FF8"/>
    <w:rsid w:val="00EE6BE0"/>
    <w:rsid w:val="00EF21F2"/>
    <w:rsid w:val="00EF285D"/>
    <w:rsid w:val="00EF2D6D"/>
    <w:rsid w:val="00EF55D2"/>
    <w:rsid w:val="00EF56DE"/>
    <w:rsid w:val="00EF5A62"/>
    <w:rsid w:val="00EF5C5E"/>
    <w:rsid w:val="00EF7C3D"/>
    <w:rsid w:val="00F007F8"/>
    <w:rsid w:val="00F05083"/>
    <w:rsid w:val="00F15956"/>
    <w:rsid w:val="00F2178D"/>
    <w:rsid w:val="00F229D5"/>
    <w:rsid w:val="00F23AB0"/>
    <w:rsid w:val="00F23B40"/>
    <w:rsid w:val="00F23D54"/>
    <w:rsid w:val="00F248C0"/>
    <w:rsid w:val="00F332B0"/>
    <w:rsid w:val="00F34607"/>
    <w:rsid w:val="00F3587C"/>
    <w:rsid w:val="00F367AF"/>
    <w:rsid w:val="00F36F58"/>
    <w:rsid w:val="00F4103A"/>
    <w:rsid w:val="00F417F9"/>
    <w:rsid w:val="00F41FC8"/>
    <w:rsid w:val="00F46C67"/>
    <w:rsid w:val="00F509B9"/>
    <w:rsid w:val="00F52CA2"/>
    <w:rsid w:val="00F547BB"/>
    <w:rsid w:val="00F56472"/>
    <w:rsid w:val="00F568A6"/>
    <w:rsid w:val="00F57D2C"/>
    <w:rsid w:val="00F61997"/>
    <w:rsid w:val="00F65824"/>
    <w:rsid w:val="00F81EA4"/>
    <w:rsid w:val="00F8259E"/>
    <w:rsid w:val="00F87C54"/>
    <w:rsid w:val="00FA4E04"/>
    <w:rsid w:val="00FA5A7A"/>
    <w:rsid w:val="00FA7319"/>
    <w:rsid w:val="00FA7E53"/>
    <w:rsid w:val="00FB0321"/>
    <w:rsid w:val="00FB132E"/>
    <w:rsid w:val="00FB2F26"/>
    <w:rsid w:val="00FC14C9"/>
    <w:rsid w:val="00FC16DD"/>
    <w:rsid w:val="00FC496A"/>
    <w:rsid w:val="00FC4C3A"/>
    <w:rsid w:val="00FC51DA"/>
    <w:rsid w:val="00FD0316"/>
    <w:rsid w:val="00FD2CE3"/>
    <w:rsid w:val="00FD342E"/>
    <w:rsid w:val="00FD4C5C"/>
    <w:rsid w:val="00FD7898"/>
    <w:rsid w:val="00FE423C"/>
    <w:rsid w:val="00FE55D1"/>
    <w:rsid w:val="00FE6233"/>
    <w:rsid w:val="00FF1503"/>
    <w:rsid w:val="00FF1B4C"/>
    <w:rsid w:val="00FF39B6"/>
    <w:rsid w:val="00FF5970"/>
    <w:rsid w:val="00FF7D2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CEB"/>
    <w:pPr>
      <w:spacing w:after="80"/>
      <w:jc w:val="both"/>
    </w:pPr>
    <w:rPr>
      <w:rFonts w:ascii="Times New Roman" w:hAnsi="Times New Roman"/>
      <w:sz w:val="24"/>
      <w:lang w:eastAsia="en-US"/>
    </w:rPr>
  </w:style>
  <w:style w:type="paragraph" w:styleId="Heading1">
    <w:name w:val="heading 1"/>
    <w:basedOn w:val="Normal"/>
    <w:next w:val="Normal"/>
    <w:link w:val="Heading1Char"/>
    <w:uiPriority w:val="99"/>
    <w:qFormat/>
    <w:rsid w:val="00D548C8"/>
    <w:pPr>
      <w:keepNext/>
      <w:spacing w:after="0"/>
      <w:outlineLvl w:val="0"/>
    </w:pPr>
    <w:rPr>
      <w:rFonts w:eastAsia="Times New Roman"/>
      <w:szCs w:val="20"/>
      <w:lang w:eastAsia="cs-CZ"/>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548C8"/>
    <w:rPr>
      <w:rFonts w:ascii="Times New Roman" w:hAnsi="Times New Roman" w:cs="Times New Roman"/>
      <w:sz w:val="20"/>
      <w:szCs w:val="20"/>
      <w:lang w:eastAsia="cs-CZ"/>
    </w:rPr>
  </w:style>
  <w:style w:type="paragraph" w:styleId="Header">
    <w:name w:val="header"/>
    <w:basedOn w:val="Normal"/>
    <w:link w:val="HeaderChar"/>
    <w:uiPriority w:val="99"/>
    <w:rsid w:val="004366FB"/>
    <w:pPr>
      <w:tabs>
        <w:tab w:val="center" w:pos="4536"/>
        <w:tab w:val="right" w:pos="9072"/>
      </w:tabs>
      <w:spacing w:after="0"/>
    </w:pPr>
  </w:style>
  <w:style w:type="character" w:customStyle="1" w:styleId="HeaderChar">
    <w:name w:val="Header Char"/>
    <w:basedOn w:val="DefaultParagraphFont"/>
    <w:link w:val="Header"/>
    <w:uiPriority w:val="99"/>
    <w:locked/>
    <w:rsid w:val="004366FB"/>
    <w:rPr>
      <w:rFonts w:ascii="Times New Roman" w:hAnsi="Times New Roman" w:cs="Times New Roman"/>
      <w:sz w:val="24"/>
    </w:rPr>
  </w:style>
  <w:style w:type="paragraph" w:styleId="Footer">
    <w:name w:val="footer"/>
    <w:basedOn w:val="Normal"/>
    <w:link w:val="FooterChar"/>
    <w:uiPriority w:val="99"/>
    <w:rsid w:val="004366FB"/>
    <w:pPr>
      <w:tabs>
        <w:tab w:val="center" w:pos="4536"/>
        <w:tab w:val="right" w:pos="9072"/>
      </w:tabs>
      <w:spacing w:after="0"/>
    </w:pPr>
  </w:style>
  <w:style w:type="character" w:customStyle="1" w:styleId="FooterChar">
    <w:name w:val="Footer Char"/>
    <w:basedOn w:val="DefaultParagraphFont"/>
    <w:link w:val="Footer"/>
    <w:uiPriority w:val="99"/>
    <w:locked/>
    <w:rsid w:val="004366FB"/>
    <w:rPr>
      <w:rFonts w:ascii="Times New Roman" w:hAnsi="Times New Roman" w:cs="Times New Roman"/>
      <w:sz w:val="24"/>
    </w:rPr>
  </w:style>
  <w:style w:type="paragraph" w:styleId="BalloonText">
    <w:name w:val="Balloon Text"/>
    <w:basedOn w:val="Normal"/>
    <w:link w:val="BalloonTextChar"/>
    <w:uiPriority w:val="99"/>
    <w:semiHidden/>
    <w:rsid w:val="00D065D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65D2"/>
    <w:rPr>
      <w:rFonts w:ascii="Tahoma" w:hAnsi="Tahoma" w:cs="Tahoma"/>
      <w:sz w:val="16"/>
      <w:szCs w:val="16"/>
    </w:rPr>
  </w:style>
  <w:style w:type="character" w:styleId="Hyperlink">
    <w:name w:val="Hyperlink"/>
    <w:basedOn w:val="DefaultParagraphFont"/>
    <w:uiPriority w:val="99"/>
    <w:rsid w:val="00DF38FE"/>
    <w:rPr>
      <w:rFonts w:cs="Times New Roman"/>
      <w:color w:val="0000FF"/>
      <w:u w:val="single"/>
    </w:rPr>
  </w:style>
  <w:style w:type="paragraph" w:styleId="ListParagraph">
    <w:name w:val="List Paragraph"/>
    <w:basedOn w:val="Normal"/>
    <w:uiPriority w:val="99"/>
    <w:qFormat/>
    <w:rsid w:val="00FD2CE3"/>
    <w:pPr>
      <w:ind w:left="720"/>
      <w:contextualSpacing/>
    </w:pPr>
  </w:style>
  <w:style w:type="paragraph" w:styleId="BodyTextIndent">
    <w:name w:val="Body Text Indent"/>
    <w:basedOn w:val="Normal"/>
    <w:link w:val="BodyTextIndentChar"/>
    <w:uiPriority w:val="99"/>
    <w:rsid w:val="004F4E53"/>
    <w:pPr>
      <w:spacing w:after="0"/>
      <w:ind w:left="360"/>
    </w:pPr>
    <w:rPr>
      <w:rFonts w:eastAsia="Times New Roman"/>
      <w:szCs w:val="20"/>
      <w:lang w:eastAsia="cs-CZ"/>
    </w:rPr>
  </w:style>
  <w:style w:type="character" w:customStyle="1" w:styleId="BodyTextIndentChar">
    <w:name w:val="Body Text Indent Char"/>
    <w:basedOn w:val="DefaultParagraphFont"/>
    <w:link w:val="BodyTextIndent"/>
    <w:uiPriority w:val="99"/>
    <w:locked/>
    <w:rsid w:val="004F4E53"/>
    <w:rPr>
      <w:rFonts w:ascii="Times New Roman" w:hAnsi="Times New Roman" w:cs="Times New Roman"/>
      <w:sz w:val="20"/>
      <w:szCs w:val="20"/>
      <w:lang w:eastAsia="cs-CZ"/>
    </w:rPr>
  </w:style>
  <w:style w:type="paragraph" w:styleId="FootnoteText">
    <w:name w:val="footnote text"/>
    <w:basedOn w:val="Normal"/>
    <w:link w:val="FootnoteTextChar"/>
    <w:uiPriority w:val="99"/>
    <w:semiHidden/>
    <w:rsid w:val="004F4E53"/>
    <w:pPr>
      <w:spacing w:after="0"/>
      <w:jc w:val="left"/>
    </w:pPr>
    <w:rPr>
      <w:rFonts w:eastAsia="Times New Roman"/>
      <w:sz w:val="20"/>
      <w:szCs w:val="20"/>
      <w:lang w:eastAsia="cs-CZ"/>
    </w:rPr>
  </w:style>
  <w:style w:type="character" w:customStyle="1" w:styleId="FootnoteTextChar">
    <w:name w:val="Footnote Text Char"/>
    <w:basedOn w:val="DefaultParagraphFont"/>
    <w:link w:val="FootnoteText"/>
    <w:uiPriority w:val="99"/>
    <w:semiHidden/>
    <w:locked/>
    <w:rsid w:val="004F4E53"/>
    <w:rPr>
      <w:rFonts w:ascii="Times New Roman" w:hAnsi="Times New Roman" w:cs="Times New Roman"/>
      <w:sz w:val="20"/>
      <w:szCs w:val="20"/>
      <w:lang w:eastAsia="cs-CZ"/>
    </w:rPr>
  </w:style>
  <w:style w:type="character" w:styleId="FootnoteReference">
    <w:name w:val="footnote reference"/>
    <w:basedOn w:val="DefaultParagraphFont"/>
    <w:uiPriority w:val="99"/>
    <w:semiHidden/>
    <w:rsid w:val="004F4E53"/>
    <w:rPr>
      <w:rFonts w:cs="Times New Roman"/>
      <w:vertAlign w:val="superscript"/>
    </w:rPr>
  </w:style>
  <w:style w:type="paragraph" w:customStyle="1" w:styleId="Zkladntextodsazen31">
    <w:name w:val="Základní text odsazený 31"/>
    <w:basedOn w:val="Normal"/>
    <w:uiPriority w:val="99"/>
    <w:rsid w:val="00D548C8"/>
    <w:pPr>
      <w:tabs>
        <w:tab w:val="left" w:pos="426"/>
      </w:tabs>
      <w:spacing w:after="0"/>
      <w:ind w:left="810"/>
    </w:pPr>
    <w:rPr>
      <w:rFonts w:eastAsia="Times New Roman"/>
      <w:szCs w:val="20"/>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smt.cz" TargetMode="External"/><Relationship Id="rId18" Type="http://schemas.openxmlformats.org/officeDocument/2006/relationships/hyperlink" Target="mailto:sport@msmt.cz"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msmt.cz" TargetMode="External"/><Relationship Id="rId17" Type="http://schemas.openxmlformats.org/officeDocument/2006/relationships/hyperlink" Target="mailto:sport@msmt.cz" TargetMode="External"/><Relationship Id="rId2" Type="http://schemas.openxmlformats.org/officeDocument/2006/relationships/styles" Target="styles.xml"/><Relationship Id="rId16" Type="http://schemas.openxmlformats.org/officeDocument/2006/relationships/hyperlink" Target="mailto:sport@msmt.cz"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smt.cz" TargetMode="External"/><Relationship Id="rId5" Type="http://schemas.openxmlformats.org/officeDocument/2006/relationships/footnotes" Target="footnotes.xml"/><Relationship Id="rId15" Type="http://schemas.openxmlformats.org/officeDocument/2006/relationships/hyperlink" Target="http://www.msmt.cz" TargetMode="External"/><Relationship Id="rId10" Type="http://schemas.openxmlformats.org/officeDocument/2006/relationships/hyperlink" Target="http://www.msmt.cz"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port@msmt.cz" TargetMode="External"/><Relationship Id="rId14" Type="http://schemas.openxmlformats.org/officeDocument/2006/relationships/hyperlink" Target="http://www.msmt.cz"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sport@msmt.cz" TargetMode="External"/><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10</Pages>
  <Words>2895</Words>
  <Characters>17087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e–INFO1/květen2012</dc:title>
  <dc:subject/>
  <dc:creator>Vosyka Miroslav</dc:creator>
  <cp:keywords/>
  <dc:description/>
  <cp:lastModifiedBy>user</cp:lastModifiedBy>
  <cp:revision>2</cp:revision>
  <cp:lastPrinted>2012-05-09T06:09:00Z</cp:lastPrinted>
  <dcterms:created xsi:type="dcterms:W3CDTF">2012-05-29T11:39:00Z</dcterms:created>
  <dcterms:modified xsi:type="dcterms:W3CDTF">2012-05-29T11:39:00Z</dcterms:modified>
</cp:coreProperties>
</file>