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7A" w:rsidRDefault="00D5137A" w:rsidP="00ED65FA">
      <w:pPr>
        <w:pStyle w:val="ku"/>
        <w:ind w:left="437" w:hanging="437"/>
        <w:jc w:val="center"/>
        <w:rPr>
          <w:b/>
          <w:color w:val="0000FF"/>
          <w:sz w:val="28"/>
          <w:szCs w:val="28"/>
        </w:rPr>
      </w:pPr>
      <w:r w:rsidRPr="000678B7">
        <w:rPr>
          <w:b/>
          <w:color w:val="0000FF"/>
          <w:sz w:val="28"/>
          <w:szCs w:val="28"/>
        </w:rPr>
        <w:t xml:space="preserve">Účelové určení a podmínky použití neinvestičních dotací </w:t>
      </w:r>
    </w:p>
    <w:p w:rsidR="00D5137A" w:rsidRPr="000678B7" w:rsidRDefault="00D5137A" w:rsidP="00ED65FA">
      <w:pPr>
        <w:pStyle w:val="ku"/>
        <w:ind w:left="437" w:hanging="437"/>
        <w:jc w:val="center"/>
        <w:rPr>
          <w:b/>
          <w:color w:val="0000FF"/>
          <w:sz w:val="28"/>
          <w:szCs w:val="28"/>
        </w:rPr>
      </w:pPr>
      <w:r w:rsidRPr="000678B7">
        <w:rPr>
          <w:b/>
          <w:color w:val="0000FF"/>
          <w:sz w:val="28"/>
          <w:szCs w:val="28"/>
        </w:rPr>
        <w:t>poskytnutých v oblasti sportu</w:t>
      </w:r>
      <w:r>
        <w:rPr>
          <w:b/>
          <w:color w:val="0000FF"/>
          <w:szCs w:val="24"/>
        </w:rPr>
        <w:t xml:space="preserve">- </w:t>
      </w:r>
      <w:r w:rsidRPr="00644047">
        <w:rPr>
          <w:b/>
          <w:color w:val="0000FF"/>
          <w:sz w:val="28"/>
          <w:szCs w:val="28"/>
        </w:rPr>
        <w:t>Program II</w:t>
      </w:r>
    </w:p>
    <w:p w:rsidR="00D5137A" w:rsidRDefault="00D5137A" w:rsidP="00ED65FA">
      <w:pPr>
        <w:pStyle w:val="Heading1"/>
        <w:jc w:val="center"/>
      </w:pPr>
    </w:p>
    <w:p w:rsidR="00D5137A" w:rsidRDefault="00D5137A" w:rsidP="00C317AF"/>
    <w:p w:rsidR="00D5137A" w:rsidRDefault="00D5137A" w:rsidP="00C317AF">
      <w:pPr>
        <w:pStyle w:val="Heading2"/>
        <w:spacing w:before="120" w:after="0"/>
        <w:jc w:val="center"/>
        <w:rPr>
          <w:rFonts w:ascii="Times New Roman" w:hAnsi="Times New Roman" w:cs="Times New Roman"/>
          <w:i w:val="0"/>
        </w:rPr>
      </w:pPr>
      <w:r w:rsidRPr="00A30F70">
        <w:rPr>
          <w:rFonts w:ascii="Times New Roman" w:hAnsi="Times New Roman" w:cs="Times New Roman"/>
          <w:i w:val="0"/>
        </w:rPr>
        <w:t>Účelové vymezení</w:t>
      </w:r>
    </w:p>
    <w:p w:rsidR="00D5137A" w:rsidRPr="00C317AF" w:rsidRDefault="00D5137A" w:rsidP="00C317AF">
      <w:pPr>
        <w:numPr>
          <w:ilvl w:val="0"/>
          <w:numId w:val="7"/>
        </w:numPr>
        <w:spacing w:before="120"/>
        <w:ind w:left="357" w:hanging="357"/>
        <w:jc w:val="both"/>
        <w:rPr>
          <w:sz w:val="24"/>
          <w:szCs w:val="24"/>
        </w:rPr>
      </w:pPr>
      <w:r w:rsidRPr="00C317AF">
        <w:rPr>
          <w:sz w:val="24"/>
          <w:szCs w:val="24"/>
        </w:rPr>
        <w:t xml:space="preserve">Program je zaměřen na péči o sportovně talentovanou mládež v organizační struktuře, ve které je zohledněn věkový a výkonnostní růst talentů.   </w:t>
      </w:r>
    </w:p>
    <w:p w:rsidR="00D5137A" w:rsidRPr="00C317AF" w:rsidRDefault="00D5137A" w:rsidP="00C317AF">
      <w:pPr>
        <w:numPr>
          <w:ilvl w:val="0"/>
          <w:numId w:val="7"/>
        </w:numPr>
        <w:spacing w:before="120"/>
        <w:ind w:left="357" w:hanging="357"/>
        <w:jc w:val="both"/>
        <w:rPr>
          <w:sz w:val="24"/>
          <w:szCs w:val="24"/>
          <w:u w:val="single"/>
        </w:rPr>
      </w:pPr>
      <w:r w:rsidRPr="00C317AF">
        <w:rPr>
          <w:sz w:val="24"/>
          <w:szCs w:val="24"/>
          <w:u w:val="single"/>
        </w:rPr>
        <w:t>Obsahové zaměření:</w:t>
      </w:r>
    </w:p>
    <w:p w:rsidR="00D5137A" w:rsidRPr="00C317AF" w:rsidRDefault="00D5137A" w:rsidP="00C317AF">
      <w:pPr>
        <w:numPr>
          <w:ilvl w:val="1"/>
          <w:numId w:val="7"/>
        </w:numPr>
        <w:tabs>
          <w:tab w:val="clear" w:pos="1440"/>
        </w:tabs>
        <w:spacing w:before="120"/>
        <w:ind w:hanging="1014"/>
        <w:jc w:val="both"/>
        <w:rPr>
          <w:sz w:val="24"/>
          <w:szCs w:val="24"/>
        </w:rPr>
      </w:pPr>
      <w:r w:rsidRPr="00C317AF">
        <w:rPr>
          <w:b/>
          <w:sz w:val="24"/>
          <w:szCs w:val="24"/>
        </w:rPr>
        <w:t>Sportovní centra mládeže – SCM</w:t>
      </w:r>
    </w:p>
    <w:p w:rsidR="00D5137A" w:rsidRPr="00C317AF" w:rsidRDefault="00D5137A" w:rsidP="00C317AF">
      <w:pPr>
        <w:spacing w:before="60"/>
        <w:ind w:left="709"/>
        <w:jc w:val="both"/>
        <w:rPr>
          <w:sz w:val="24"/>
          <w:szCs w:val="24"/>
        </w:rPr>
      </w:pPr>
      <w:r w:rsidRPr="00C317AF">
        <w:rPr>
          <w:sz w:val="24"/>
          <w:szCs w:val="24"/>
        </w:rPr>
        <w:t>Podpora je určena na</w:t>
      </w:r>
      <w:r>
        <w:rPr>
          <w:sz w:val="24"/>
          <w:szCs w:val="24"/>
        </w:rPr>
        <w:t xml:space="preserve"> </w:t>
      </w:r>
      <w:r w:rsidRPr="00C317AF">
        <w:rPr>
          <w:sz w:val="24"/>
          <w:szCs w:val="24"/>
        </w:rPr>
        <w:t xml:space="preserve">sportovní přípravu talentovaných sportovců dorostenecké </w:t>
      </w:r>
      <w:r w:rsidRPr="00C317AF">
        <w:rPr>
          <w:sz w:val="24"/>
          <w:szCs w:val="24"/>
        </w:rPr>
        <w:br/>
        <w:t>a juniorské kategorie (zpravidla 15 -19 let, pokud mezinárodní pravidla nebo MŠMT nestanoví jinak), prostřednictvím vybraných olympijských sportech. Tato centra si vytváří svaz, dle vlastních koncepčních plánů, které jsou zařazeny do systému přípravy sportovních talentů. V mimořádných případech je možné zahrnout jednotlivé juniory věkové kategorie do 23 let s omezením max. do 3 osob.</w:t>
      </w:r>
    </w:p>
    <w:p w:rsidR="00D5137A" w:rsidRPr="00C317AF" w:rsidRDefault="00D5137A" w:rsidP="00C317AF">
      <w:pPr>
        <w:spacing w:before="60"/>
        <w:ind w:left="709"/>
        <w:jc w:val="both"/>
        <w:rPr>
          <w:sz w:val="24"/>
          <w:szCs w:val="24"/>
        </w:rPr>
      </w:pPr>
      <w:r w:rsidRPr="00C317AF">
        <w:rPr>
          <w:sz w:val="24"/>
          <w:szCs w:val="24"/>
        </w:rPr>
        <w:t xml:space="preserve">Současně je možné SCM diferencovat dle sportovní výkonnosti s rozdílným označením jednotlivých celků. Při této organizační struktuře budou využity finanční prostředky z původního programu Sportovní talent.  </w:t>
      </w:r>
    </w:p>
    <w:p w:rsidR="00D5137A" w:rsidRPr="00C317AF" w:rsidRDefault="00D5137A" w:rsidP="00C317AF">
      <w:pPr>
        <w:numPr>
          <w:ilvl w:val="1"/>
          <w:numId w:val="7"/>
        </w:numPr>
        <w:tabs>
          <w:tab w:val="clear" w:pos="1440"/>
        </w:tabs>
        <w:spacing w:before="120"/>
        <w:ind w:hanging="1014"/>
        <w:jc w:val="both"/>
        <w:rPr>
          <w:sz w:val="24"/>
          <w:szCs w:val="24"/>
        </w:rPr>
      </w:pPr>
      <w:r w:rsidRPr="00C317AF">
        <w:rPr>
          <w:b/>
          <w:sz w:val="24"/>
          <w:szCs w:val="24"/>
        </w:rPr>
        <w:t>Sportovní střediska – SpS</w:t>
      </w:r>
    </w:p>
    <w:p w:rsidR="00D5137A" w:rsidRPr="00C317AF" w:rsidRDefault="00D5137A" w:rsidP="00C317AF">
      <w:pPr>
        <w:numPr>
          <w:ilvl w:val="0"/>
          <w:numId w:val="8"/>
        </w:numPr>
        <w:spacing w:before="60"/>
        <w:ind w:left="993" w:hanging="284"/>
        <w:jc w:val="both"/>
        <w:rPr>
          <w:sz w:val="24"/>
          <w:szCs w:val="24"/>
        </w:rPr>
      </w:pPr>
      <w:r w:rsidRPr="00C317AF">
        <w:rPr>
          <w:sz w:val="24"/>
          <w:szCs w:val="24"/>
        </w:rPr>
        <w:t>Podpora je určena na sportovní přípravu talentů věkové kategorie 10 až 15 let ve vybraných sportovních svazech, které jsou zařazeny do systému přípravy sportovních talentů. Podporu sportovní činnosti lze realizovat ve spolupráci s řediteli základních škol s využitím potenciálu těchto zařízení.</w:t>
      </w:r>
    </w:p>
    <w:p w:rsidR="00D5137A" w:rsidRPr="00C317AF" w:rsidRDefault="00D5137A" w:rsidP="00C317AF">
      <w:pPr>
        <w:numPr>
          <w:ilvl w:val="0"/>
          <w:numId w:val="8"/>
        </w:numPr>
        <w:spacing w:before="60"/>
        <w:ind w:left="993" w:hanging="284"/>
        <w:jc w:val="both"/>
        <w:rPr>
          <w:sz w:val="24"/>
          <w:szCs w:val="24"/>
        </w:rPr>
      </w:pPr>
      <w:r w:rsidRPr="00C317AF">
        <w:rPr>
          <w:sz w:val="24"/>
          <w:szCs w:val="24"/>
        </w:rPr>
        <w:t xml:space="preserve">Podpora je určena na doplnění základní sportovní přípravy dětí, zpravidla věkové kategorii od 6 let, které jsou zařazeny do systému přípravy sportovních talentů, v souladu s předloženým projektem svazu. </w:t>
      </w:r>
    </w:p>
    <w:p w:rsidR="00D5137A" w:rsidRPr="00C317AF" w:rsidRDefault="00D5137A" w:rsidP="00C317AF">
      <w:pPr>
        <w:numPr>
          <w:ilvl w:val="1"/>
          <w:numId w:val="7"/>
        </w:numPr>
        <w:tabs>
          <w:tab w:val="clear" w:pos="1440"/>
        </w:tabs>
        <w:spacing w:before="120"/>
        <w:ind w:hanging="1014"/>
        <w:jc w:val="both"/>
        <w:rPr>
          <w:sz w:val="24"/>
          <w:szCs w:val="24"/>
        </w:rPr>
      </w:pPr>
      <w:r w:rsidRPr="00C317AF">
        <w:rPr>
          <w:b/>
          <w:sz w:val="24"/>
          <w:szCs w:val="24"/>
        </w:rPr>
        <w:t>Příprava ostatních sportovních talentů</w:t>
      </w:r>
    </w:p>
    <w:p w:rsidR="00D5137A" w:rsidRPr="00C317AF" w:rsidRDefault="00D5137A" w:rsidP="00C317AF">
      <w:pPr>
        <w:numPr>
          <w:ilvl w:val="0"/>
          <w:numId w:val="9"/>
        </w:numPr>
        <w:spacing w:before="60"/>
        <w:ind w:left="993" w:hanging="284"/>
        <w:jc w:val="both"/>
        <w:rPr>
          <w:sz w:val="24"/>
          <w:szCs w:val="24"/>
        </w:rPr>
      </w:pPr>
      <w:r w:rsidRPr="00C317AF">
        <w:rPr>
          <w:sz w:val="24"/>
          <w:szCs w:val="24"/>
        </w:rPr>
        <w:t xml:space="preserve">Podpora je určena na sportovní přípravu talentů věkové kategorie 6 až 19 let </w:t>
      </w:r>
    </w:p>
    <w:p w:rsidR="00D5137A" w:rsidRDefault="00D5137A" w:rsidP="00C317AF"/>
    <w:p w:rsidR="00D5137A" w:rsidRDefault="00D5137A" w:rsidP="00C317AF"/>
    <w:p w:rsidR="00D5137A" w:rsidRPr="00C317AF" w:rsidRDefault="00D5137A" w:rsidP="00C317AF"/>
    <w:p w:rsidR="00D5137A" w:rsidRPr="00BC294F" w:rsidRDefault="00D5137A" w:rsidP="00ED65FA">
      <w:pPr>
        <w:rPr>
          <w:sz w:val="24"/>
        </w:rPr>
      </w:pPr>
    </w:p>
    <w:p w:rsidR="00D5137A" w:rsidRDefault="00D5137A" w:rsidP="00ED65FA">
      <w:pPr>
        <w:pStyle w:val="Heading1"/>
        <w:jc w:val="center"/>
        <w:rPr>
          <w:sz w:val="28"/>
        </w:rPr>
      </w:pPr>
      <w:r>
        <w:rPr>
          <w:sz w:val="28"/>
        </w:rPr>
        <w:t>Článek I</w:t>
      </w:r>
    </w:p>
    <w:p w:rsidR="00D5137A" w:rsidRDefault="00D5137A" w:rsidP="00ED65FA">
      <w:pPr>
        <w:pStyle w:val="Heading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D5137A" w:rsidRPr="00BC294F" w:rsidRDefault="00D5137A" w:rsidP="00ED65FA"/>
    <w:p w:rsidR="00D5137A" w:rsidRPr="00055F6A" w:rsidRDefault="00D5137A" w:rsidP="00ED65FA">
      <w:pPr>
        <w:numPr>
          <w:ilvl w:val="0"/>
          <w:numId w:val="1"/>
        </w:numPr>
        <w:tabs>
          <w:tab w:val="clear" w:pos="720"/>
        </w:tabs>
        <w:ind w:left="426" w:hanging="426"/>
        <w:jc w:val="both"/>
        <w:rPr>
          <w:spacing w:val="-4"/>
          <w:sz w:val="24"/>
          <w:u w:val="single"/>
        </w:rPr>
      </w:pPr>
      <w:r w:rsidRPr="00055F6A">
        <w:rPr>
          <w:spacing w:val="-4"/>
          <w:sz w:val="24"/>
        </w:rPr>
        <w:t>V případě schválených projektů - Program I</w:t>
      </w:r>
      <w:r>
        <w:rPr>
          <w:spacing w:val="-4"/>
          <w:sz w:val="24"/>
        </w:rPr>
        <w:t xml:space="preserve">I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w:t>
      </w:r>
      <w:r>
        <w:rPr>
          <w:spacing w:val="-4"/>
          <w:sz w:val="24"/>
          <w:u w:val="single"/>
        </w:rPr>
        <w:t xml:space="preserve"> projektu</w:t>
      </w:r>
      <w:r w:rsidRPr="00055F6A">
        <w:rPr>
          <w:spacing w:val="-4"/>
          <w:sz w:val="24"/>
          <w:u w:val="single"/>
        </w:rPr>
        <w:t xml:space="preserve">. </w:t>
      </w:r>
    </w:p>
    <w:p w:rsidR="00D5137A" w:rsidRPr="00266F7D" w:rsidRDefault="00D5137A" w:rsidP="00ED65FA">
      <w:pPr>
        <w:pStyle w:val="ListParagraph"/>
        <w:numPr>
          <w:ilvl w:val="0"/>
          <w:numId w:val="1"/>
        </w:numPr>
        <w:tabs>
          <w:tab w:val="clear" w:pos="720"/>
        </w:tabs>
        <w:spacing w:before="6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D5137A" w:rsidRPr="00317EBB" w:rsidRDefault="00D5137A" w:rsidP="00ED65FA">
      <w:pPr>
        <w:numPr>
          <w:ilvl w:val="0"/>
          <w:numId w:val="1"/>
        </w:numPr>
        <w:tabs>
          <w:tab w:val="clear" w:pos="720"/>
        </w:tabs>
        <w:spacing w:before="60"/>
        <w:ind w:left="357" w:hanging="357"/>
        <w:jc w:val="both"/>
        <w:rPr>
          <w:sz w:val="24"/>
        </w:rPr>
      </w:pPr>
      <w:r>
        <w:rPr>
          <w:sz w:val="24"/>
        </w:rPr>
        <w:t xml:space="preserve">D o t a c e </w:t>
      </w:r>
      <w:r w:rsidRPr="00317EBB">
        <w:rPr>
          <w:b/>
          <w:color w:val="FF0000"/>
          <w:sz w:val="24"/>
          <w:u w:val="single"/>
        </w:rPr>
        <w:t>nesmí být použit</w:t>
      </w:r>
      <w:r>
        <w:rPr>
          <w:b/>
          <w:color w:val="FF0000"/>
          <w:sz w:val="24"/>
          <w:u w:val="single"/>
        </w:rPr>
        <w:t>a</w:t>
      </w:r>
      <w:r w:rsidRPr="00317EBB">
        <w:rPr>
          <w:b/>
          <w:color w:val="FF0000"/>
          <w:sz w:val="24"/>
          <w:u w:val="single"/>
        </w:rPr>
        <w:t xml:space="preserve"> na:</w:t>
      </w:r>
    </w:p>
    <w:p w:rsidR="00D5137A" w:rsidRDefault="00D5137A" w:rsidP="00ED65FA">
      <w:pPr>
        <w:numPr>
          <w:ilvl w:val="0"/>
          <w:numId w:val="2"/>
        </w:numPr>
        <w:spacing w:before="120"/>
        <w:jc w:val="both"/>
        <w:rPr>
          <w:sz w:val="24"/>
        </w:rPr>
      </w:pPr>
      <w:r w:rsidRPr="00317EBB">
        <w:rPr>
          <w:sz w:val="24"/>
        </w:rPr>
        <w:t>úhradu pořízení investičního majetku (tj. nad 40 tis. Kč),</w:t>
      </w:r>
    </w:p>
    <w:p w:rsidR="00D5137A" w:rsidRPr="00317EBB" w:rsidRDefault="00D5137A" w:rsidP="00ED65FA">
      <w:pPr>
        <w:numPr>
          <w:ilvl w:val="0"/>
          <w:numId w:val="2"/>
        </w:numPr>
        <w:spacing w:before="60"/>
        <w:jc w:val="both"/>
        <w:rPr>
          <w:sz w:val="24"/>
        </w:rPr>
      </w:pPr>
      <w:r>
        <w:rPr>
          <w:sz w:val="24"/>
        </w:rPr>
        <w:t>úhradu úroků, penále, srážek a dalších finančních postihů,</w:t>
      </w:r>
    </w:p>
    <w:p w:rsidR="00D5137A" w:rsidRDefault="00D5137A" w:rsidP="00ED65FA">
      <w:pPr>
        <w:numPr>
          <w:ilvl w:val="0"/>
          <w:numId w:val="2"/>
        </w:numPr>
        <w:spacing w:before="60"/>
        <w:jc w:val="both"/>
        <w:rPr>
          <w:sz w:val="24"/>
        </w:rPr>
      </w:pPr>
      <w:r w:rsidRPr="00E665CF">
        <w:rPr>
          <w:sz w:val="24"/>
        </w:rPr>
        <w:t xml:space="preserve">plnění jiným fyzickým nebo právnickým osobám, </w:t>
      </w:r>
    </w:p>
    <w:p w:rsidR="00D5137A" w:rsidRPr="00E665CF" w:rsidRDefault="00D5137A" w:rsidP="00ED65FA">
      <w:pPr>
        <w:numPr>
          <w:ilvl w:val="0"/>
          <w:numId w:val="2"/>
        </w:numPr>
        <w:spacing w:before="60"/>
        <w:jc w:val="both"/>
        <w:rPr>
          <w:sz w:val="24"/>
        </w:rPr>
      </w:pPr>
      <w:r w:rsidRPr="00E665CF">
        <w:rPr>
          <w:sz w:val="24"/>
        </w:rPr>
        <w:t>úhradu leasingu osobních automobilů a dalšího hmotného majetku,</w:t>
      </w:r>
    </w:p>
    <w:p w:rsidR="00D5137A" w:rsidRPr="00317EBB" w:rsidRDefault="00D5137A" w:rsidP="00ED65FA">
      <w:pPr>
        <w:numPr>
          <w:ilvl w:val="0"/>
          <w:numId w:val="2"/>
        </w:numPr>
        <w:spacing w:before="60"/>
        <w:jc w:val="both"/>
        <w:rPr>
          <w:sz w:val="24"/>
        </w:rPr>
      </w:pPr>
      <w:r w:rsidRPr="00317EBB">
        <w:rPr>
          <w:sz w:val="24"/>
        </w:rPr>
        <w:t xml:space="preserve">úhradu cestovních náhrad nad rámec stanovený zákonem </w:t>
      </w:r>
      <w:r w:rsidRPr="00781363">
        <w:rPr>
          <w:sz w:val="24"/>
        </w:rPr>
        <w:t>č. 262/2006 Sb.,</w:t>
      </w:r>
      <w:r>
        <w:rPr>
          <w:sz w:val="24"/>
        </w:rPr>
        <w:t>zákoník práce</w:t>
      </w:r>
      <w:r w:rsidRPr="00317EBB">
        <w:rPr>
          <w:sz w:val="24"/>
        </w:rPr>
        <w:t>, ve znění pozdějších předpisů,</w:t>
      </w:r>
    </w:p>
    <w:p w:rsidR="00D5137A" w:rsidRPr="00317EBB" w:rsidRDefault="00D5137A" w:rsidP="00ED65FA">
      <w:pPr>
        <w:numPr>
          <w:ilvl w:val="0"/>
          <w:numId w:val="2"/>
        </w:numPr>
        <w:spacing w:before="60"/>
        <w:jc w:val="both"/>
        <w:rPr>
          <w:sz w:val="24"/>
        </w:rPr>
      </w:pPr>
      <w:r w:rsidRPr="00317EBB">
        <w:rPr>
          <w:sz w:val="24"/>
        </w:rPr>
        <w:t xml:space="preserve">úhradu výdajů na pohoštění </w:t>
      </w:r>
      <w:r w:rsidRPr="00317EBB">
        <w:rPr>
          <w:rStyle w:val="FootnoteReference"/>
          <w:sz w:val="24"/>
        </w:rPr>
        <w:footnoteReference w:id="2"/>
      </w:r>
      <w:r w:rsidRPr="00317EBB">
        <w:rPr>
          <w:rStyle w:val="FootnoteReference"/>
          <w:sz w:val="24"/>
        </w:rPr>
        <w:t>)</w:t>
      </w:r>
      <w:r w:rsidRPr="00317EBB">
        <w:rPr>
          <w:sz w:val="24"/>
        </w:rPr>
        <w:t xml:space="preserve"> a dary,</w:t>
      </w:r>
    </w:p>
    <w:p w:rsidR="00D5137A" w:rsidRPr="00317EBB" w:rsidRDefault="00D5137A" w:rsidP="00ED65FA">
      <w:pPr>
        <w:numPr>
          <w:ilvl w:val="0"/>
          <w:numId w:val="2"/>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FootnoteReference"/>
          <w:sz w:val="24"/>
        </w:rPr>
        <w:footnoteReference w:id="3"/>
      </w:r>
      <w:r w:rsidRPr="00317EBB">
        <w:rPr>
          <w:rStyle w:val="FootnoteReference"/>
          <w:sz w:val="24"/>
        </w:rPr>
        <w:t>)</w:t>
      </w:r>
      <w:r w:rsidRPr="00317EBB">
        <w:rPr>
          <w:sz w:val="24"/>
        </w:rPr>
        <w:t xml:space="preserve">, </w:t>
      </w:r>
      <w:r w:rsidRPr="00317EBB">
        <w:rPr>
          <w:spacing w:val="-4"/>
          <w:sz w:val="24"/>
        </w:rPr>
        <w:t>pokud  není  přímo vymezeno vyhlášeným p</w:t>
      </w:r>
      <w:r>
        <w:rPr>
          <w:spacing w:val="-4"/>
          <w:sz w:val="24"/>
        </w:rPr>
        <w:t xml:space="preserve">rogramem a přijatým projektem, </w:t>
      </w:r>
    </w:p>
    <w:p w:rsidR="00D5137A" w:rsidRPr="00317EBB" w:rsidRDefault="00D5137A" w:rsidP="00ED65FA">
      <w:pPr>
        <w:numPr>
          <w:ilvl w:val="0"/>
          <w:numId w:val="2"/>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pokud  není</w:t>
      </w:r>
      <w:r>
        <w:rPr>
          <w:spacing w:val="-4"/>
          <w:sz w:val="24"/>
        </w:rPr>
        <w:t xml:space="preserve"> přímo vymezeno účelem programu</w:t>
      </w:r>
    </w:p>
    <w:p w:rsidR="00D5137A" w:rsidRPr="00317EBB" w:rsidRDefault="00D5137A" w:rsidP="00ED65FA">
      <w:pPr>
        <w:numPr>
          <w:ilvl w:val="0"/>
          <w:numId w:val="2"/>
        </w:numPr>
        <w:tabs>
          <w:tab w:val="left" w:pos="0"/>
          <w:tab w:val="left" w:pos="142"/>
        </w:tabs>
        <w:spacing w:before="60"/>
        <w:jc w:val="both"/>
        <w:rPr>
          <w:sz w:val="24"/>
        </w:rPr>
      </w:pPr>
      <w:r w:rsidRPr="00317EBB">
        <w:rPr>
          <w:sz w:val="24"/>
        </w:rPr>
        <w:t>mzdové náklady, včetně odvodů zaměstnavatele a ostatní osobní náklady funkcionářům, zaměstnancům a manažerům nestátní neziskové organizace</w:t>
      </w:r>
      <w:r>
        <w:rPr>
          <w:sz w:val="24"/>
        </w:rPr>
        <w:t xml:space="preserve">, není-li Programem stanoveno jinak. </w:t>
      </w:r>
      <w:r w:rsidRPr="0013710D">
        <w:rPr>
          <w:b/>
          <w:color w:val="FF0000"/>
          <w:spacing w:val="-4"/>
          <w:sz w:val="24"/>
        </w:rPr>
        <w:t>Nelze duplicitně použít mzdové prostředky z různých programů pro jednu osobu.</w:t>
      </w:r>
    </w:p>
    <w:p w:rsidR="00D5137A" w:rsidRPr="00317EBB" w:rsidRDefault="00D5137A" w:rsidP="00ED65FA">
      <w:pPr>
        <w:numPr>
          <w:ilvl w:val="0"/>
          <w:numId w:val="2"/>
        </w:numPr>
        <w:tabs>
          <w:tab w:val="left" w:pos="0"/>
          <w:tab w:val="left" w:pos="142"/>
        </w:tabs>
        <w:spacing w:before="60"/>
        <w:jc w:val="both"/>
        <w:rPr>
          <w:sz w:val="24"/>
        </w:rPr>
      </w:pPr>
      <w:r w:rsidRPr="00317EBB">
        <w:rPr>
          <w:spacing w:val="-4"/>
          <w:sz w:val="24"/>
        </w:rPr>
        <w:t>reklamní a propagační činnost,</w:t>
      </w:r>
    </w:p>
    <w:p w:rsidR="00D5137A" w:rsidRDefault="00D5137A" w:rsidP="0013710D">
      <w:pPr>
        <w:pStyle w:val="Zkladntextodsazen31"/>
        <w:numPr>
          <w:ilvl w:val="0"/>
          <w:numId w:val="2"/>
        </w:numPr>
        <w:tabs>
          <w:tab w:val="clear" w:pos="426"/>
        </w:tabs>
      </w:pPr>
      <w:bookmarkStart w:id="0" w:name="_GoBack"/>
      <w:bookmarkEnd w:id="0"/>
      <w:r>
        <w:t>úhradu výdajů údržby a provozu administrativních budov, není-li Rozhodnutím stanoveno jinak.</w:t>
      </w:r>
    </w:p>
    <w:p w:rsidR="00D5137A" w:rsidRDefault="00D5137A" w:rsidP="00ED65FA">
      <w:pPr>
        <w:pStyle w:val="Zkladntextodsazen31"/>
        <w:tabs>
          <w:tab w:val="clear" w:pos="426"/>
        </w:tabs>
        <w:ind w:left="1080"/>
      </w:pPr>
    </w:p>
    <w:p w:rsidR="00D5137A" w:rsidRDefault="00D5137A" w:rsidP="00ED65FA">
      <w:pPr>
        <w:pStyle w:val="Zkladntextodsazen31"/>
        <w:tabs>
          <w:tab w:val="clear" w:pos="426"/>
        </w:tabs>
        <w:ind w:left="1080"/>
      </w:pPr>
    </w:p>
    <w:p w:rsidR="00D5137A" w:rsidRPr="00ED65FA" w:rsidRDefault="00D5137A" w:rsidP="00ED65FA">
      <w:pPr>
        <w:pStyle w:val="Heading2"/>
        <w:spacing w:before="60" w:after="0"/>
        <w:jc w:val="center"/>
        <w:rPr>
          <w:rFonts w:ascii="Times New Roman" w:hAnsi="Times New Roman" w:cs="Times New Roman"/>
          <w:i w:val="0"/>
          <w:sz w:val="24"/>
          <w:szCs w:val="24"/>
        </w:rPr>
      </w:pPr>
      <w:r w:rsidRPr="00ED65FA">
        <w:rPr>
          <w:rFonts w:ascii="Times New Roman" w:hAnsi="Times New Roman" w:cs="Times New Roman"/>
          <w:i w:val="0"/>
          <w:sz w:val="24"/>
          <w:szCs w:val="24"/>
        </w:rPr>
        <w:t xml:space="preserve">Účelovost používání dotací v programech veřejně vyhlášené </w:t>
      </w:r>
    </w:p>
    <w:p w:rsidR="00D5137A" w:rsidRPr="00ED65FA" w:rsidRDefault="00D5137A" w:rsidP="00ED65FA">
      <w:pPr>
        <w:pStyle w:val="Heading2"/>
        <w:spacing w:before="0" w:after="0"/>
        <w:jc w:val="center"/>
        <w:rPr>
          <w:rFonts w:ascii="Times New Roman" w:hAnsi="Times New Roman" w:cs="Times New Roman"/>
          <w:i w:val="0"/>
          <w:sz w:val="24"/>
          <w:szCs w:val="24"/>
        </w:rPr>
      </w:pPr>
      <w:r w:rsidRPr="00ED65FA">
        <w:rPr>
          <w:rFonts w:ascii="Times New Roman" w:hAnsi="Times New Roman" w:cs="Times New Roman"/>
          <w:i w:val="0"/>
          <w:sz w:val="24"/>
          <w:szCs w:val="24"/>
        </w:rPr>
        <w:t>„Státní podpory sportu“</w:t>
      </w:r>
    </w:p>
    <w:p w:rsidR="00D5137A" w:rsidRPr="0040354F" w:rsidRDefault="00D5137A" w:rsidP="00ED65FA">
      <w:pPr>
        <w:rPr>
          <w:sz w:val="24"/>
          <w:szCs w:val="24"/>
        </w:rPr>
      </w:pPr>
    </w:p>
    <w:p w:rsidR="00D5137A" w:rsidRPr="00317EBB" w:rsidRDefault="00D5137A" w:rsidP="00ED65FA">
      <w:pPr>
        <w:numPr>
          <w:ilvl w:val="0"/>
          <w:numId w:val="6"/>
        </w:numPr>
        <w:tabs>
          <w:tab w:val="clear" w:pos="720"/>
        </w:tabs>
        <w:ind w:left="357" w:hanging="357"/>
        <w:jc w:val="both"/>
        <w:rPr>
          <w:b/>
          <w:sz w:val="24"/>
        </w:rPr>
      </w:pPr>
      <w:r w:rsidRPr="00317EBB">
        <w:rPr>
          <w:b/>
          <w:sz w:val="24"/>
        </w:rPr>
        <w:t>V Programu II – Sportovn</w:t>
      </w:r>
      <w:r>
        <w:rPr>
          <w:b/>
          <w:sz w:val="24"/>
        </w:rPr>
        <w:t xml:space="preserve">ě talentovaná mládež </w:t>
      </w:r>
      <w:r w:rsidRPr="00317EBB">
        <w:rPr>
          <w:sz w:val="24"/>
        </w:rPr>
        <w:t>lze</w:t>
      </w:r>
      <w:r>
        <w:rPr>
          <w:sz w:val="24"/>
        </w:rPr>
        <w:t xml:space="preserve"> dotaci použít pouze na</w:t>
      </w:r>
      <w:r w:rsidRPr="00317EBB">
        <w:rPr>
          <w:sz w:val="24"/>
        </w:rPr>
        <w:t>:</w:t>
      </w:r>
    </w:p>
    <w:p w:rsidR="00D5137A" w:rsidRPr="00ED65FA" w:rsidRDefault="00D5137A" w:rsidP="00ED65FA">
      <w:pPr>
        <w:pStyle w:val="BodyTextIndent"/>
        <w:numPr>
          <w:ilvl w:val="0"/>
          <w:numId w:val="5"/>
        </w:numPr>
        <w:tabs>
          <w:tab w:val="clear" w:pos="450"/>
          <w:tab w:val="left" w:pos="851"/>
        </w:tabs>
        <w:spacing w:before="120" w:after="0"/>
        <w:ind w:left="850" w:hanging="425"/>
        <w:jc w:val="both"/>
        <w:rPr>
          <w:sz w:val="24"/>
          <w:szCs w:val="24"/>
        </w:rPr>
      </w:pPr>
      <w:r w:rsidRPr="00ED65FA">
        <w:rPr>
          <w:sz w:val="24"/>
          <w:szCs w:val="24"/>
        </w:rPr>
        <w:t>sportovní přípravu sportovců a členů realizačního týmu, včetně zahraniční (náklady na soustředění a přípravné akce, na trenérské, zdravotní, metodické a technické, servisní zabezpečení, vybavení sportovními potřebami neinvestičního charakteru, nájemné prostor pro zabezpečení sportovní přípravy), v souladu se Zásadami sportovně talentované mládeže,</w:t>
      </w:r>
    </w:p>
    <w:p w:rsidR="00D5137A" w:rsidRPr="00317EBB" w:rsidRDefault="00D5137A" w:rsidP="00ED65FA">
      <w:pPr>
        <w:numPr>
          <w:ilvl w:val="0"/>
          <w:numId w:val="5"/>
        </w:numPr>
        <w:tabs>
          <w:tab w:val="clear" w:pos="450"/>
        </w:tabs>
        <w:spacing w:before="120"/>
        <w:ind w:left="851" w:hanging="425"/>
        <w:jc w:val="both"/>
        <w:rPr>
          <w:sz w:val="24"/>
        </w:rPr>
      </w:pPr>
      <w:r w:rsidRPr="00ED65FA">
        <w:rPr>
          <w:sz w:val="24"/>
          <w:szCs w:val="24"/>
        </w:rPr>
        <w:t>zabezpečení sportovců, trenérů a členů realizačního týmu</w:t>
      </w:r>
      <w:r w:rsidRPr="00317EBB">
        <w:rPr>
          <w:sz w:val="24"/>
        </w:rPr>
        <w:t xml:space="preserve"> (cestovné, víza, náklady na dopravu osob a materiálu, ubytování, stravování, včetně nákladů na zkvalitnění stravy</w:t>
      </w:r>
      <w:r>
        <w:rPr>
          <w:sz w:val="24"/>
        </w:rPr>
        <w:t>,</w:t>
      </w:r>
      <w:r w:rsidRPr="00317EBB">
        <w:rPr>
          <w:sz w:val="24"/>
        </w:rPr>
        <w:t>dále služby) a u NNO pojištění odpovědnosti, standardní úrazové, léčebné náklady v zahraničí, cestovní, včetně pojištění sportovního materiálu,</w:t>
      </w:r>
    </w:p>
    <w:p w:rsidR="00D5137A" w:rsidRPr="009D43E1" w:rsidRDefault="00D5137A" w:rsidP="00ED65FA">
      <w:pPr>
        <w:numPr>
          <w:ilvl w:val="0"/>
          <w:numId w:val="5"/>
        </w:numPr>
        <w:tabs>
          <w:tab w:val="clear" w:pos="450"/>
          <w:tab w:val="left" w:pos="851"/>
        </w:tabs>
        <w:spacing w:before="120"/>
        <w:ind w:left="851" w:hanging="425"/>
        <w:jc w:val="both"/>
        <w:rPr>
          <w:sz w:val="24"/>
        </w:rPr>
      </w:pPr>
      <w:r w:rsidRPr="009D43E1">
        <w:rPr>
          <w:sz w:val="24"/>
        </w:rPr>
        <w:t xml:space="preserve">mzdové náklady trenérů a členů realizačního týmu, včetně náhrady mezd </w:t>
      </w:r>
      <w:r w:rsidRPr="009D43E1">
        <w:rPr>
          <w:sz w:val="24"/>
        </w:rPr>
        <w:br/>
        <w:t xml:space="preserve">a povinných odvodů zaměstnavatele, je možné čerpat </w:t>
      </w:r>
      <w:r>
        <w:rPr>
          <w:b/>
          <w:color w:val="FF0000"/>
          <w:sz w:val="24"/>
        </w:rPr>
        <w:t>do výše 5</w:t>
      </w:r>
      <w:r w:rsidRPr="009D43E1">
        <w:rPr>
          <w:b/>
          <w:color w:val="FF0000"/>
          <w:sz w:val="24"/>
        </w:rPr>
        <w:t>0 % celkového objemu</w:t>
      </w:r>
      <w:r w:rsidRPr="009D43E1">
        <w:rPr>
          <w:sz w:val="24"/>
        </w:rPr>
        <w:t xml:space="preserve"> schválené státní dotace na program II.</w:t>
      </w:r>
    </w:p>
    <w:p w:rsidR="00D5137A" w:rsidRPr="009D43E1" w:rsidRDefault="00D5137A" w:rsidP="00ED65FA">
      <w:pPr>
        <w:numPr>
          <w:ilvl w:val="0"/>
          <w:numId w:val="5"/>
        </w:numPr>
        <w:tabs>
          <w:tab w:val="clear" w:pos="450"/>
          <w:tab w:val="left" w:pos="851"/>
        </w:tabs>
        <w:spacing w:before="120"/>
        <w:ind w:left="851" w:hanging="425"/>
        <w:jc w:val="both"/>
        <w:rPr>
          <w:sz w:val="24"/>
        </w:rPr>
      </w:pPr>
      <w:r w:rsidRPr="009D43E1">
        <w:rPr>
          <w:b/>
          <w:sz w:val="24"/>
        </w:rPr>
        <w:t>S</w:t>
      </w:r>
      <w:r w:rsidRPr="009D43E1">
        <w:rPr>
          <w:sz w:val="24"/>
        </w:rPr>
        <w:t xml:space="preserve">oučet nákladů na zabezpečení sportovní činnosti, služby a sportovní potřeby spojené se sportovní přípravou </w:t>
      </w:r>
      <w:r w:rsidRPr="009D43E1">
        <w:rPr>
          <w:b/>
          <w:color w:val="FF0000"/>
          <w:sz w:val="24"/>
        </w:rPr>
        <w:t xml:space="preserve">nesmí přesáhnout výši 40% celkového objemů </w:t>
      </w:r>
      <w:r w:rsidRPr="009D43E1">
        <w:rPr>
          <w:sz w:val="24"/>
        </w:rPr>
        <w:t>schválené státní dotace na program II.</w:t>
      </w:r>
      <w:r w:rsidRPr="009D43E1">
        <w:rPr>
          <w:rStyle w:val="FootnoteReference"/>
          <w:spacing w:val="-4"/>
          <w:sz w:val="24"/>
        </w:rPr>
        <w:footnoteReference w:id="4"/>
      </w:r>
      <w:r w:rsidRPr="009D43E1">
        <w:rPr>
          <w:spacing w:val="-4"/>
          <w:sz w:val="24"/>
          <w:vertAlign w:val="superscript"/>
        </w:rPr>
        <w:t>)</w:t>
      </w:r>
    </w:p>
    <w:p w:rsidR="00D5137A" w:rsidRPr="0013710D" w:rsidRDefault="00D5137A" w:rsidP="00C317AF">
      <w:pPr>
        <w:numPr>
          <w:ilvl w:val="0"/>
          <w:numId w:val="5"/>
        </w:numPr>
        <w:tabs>
          <w:tab w:val="clear" w:pos="450"/>
          <w:tab w:val="num" w:pos="851"/>
        </w:tabs>
        <w:spacing w:before="120"/>
        <w:ind w:left="851" w:hanging="425"/>
        <w:jc w:val="both"/>
        <w:rPr>
          <w:b/>
          <w:color w:val="FF0000"/>
          <w:sz w:val="24"/>
        </w:rPr>
      </w:pPr>
      <w:r w:rsidRPr="0013710D">
        <w:rPr>
          <w:sz w:val="24"/>
        </w:rPr>
        <w:t xml:space="preserve">zkvalitnění stravy a poplatky za telekomunikační služby související s plněním programu, jejichž součet </w:t>
      </w:r>
      <w:r w:rsidRPr="0013710D">
        <w:rPr>
          <w:b/>
          <w:color w:val="FF0000"/>
          <w:sz w:val="24"/>
        </w:rPr>
        <w:t xml:space="preserve">nesmí přesáhnout výši 2% z celkové roční dotace, </w:t>
      </w:r>
    </w:p>
    <w:p w:rsidR="00D5137A" w:rsidRPr="00FE6BCB" w:rsidRDefault="00D5137A" w:rsidP="00C317AF">
      <w:pPr>
        <w:spacing w:before="120"/>
        <w:ind w:left="851"/>
        <w:jc w:val="both"/>
        <w:rPr>
          <w:sz w:val="24"/>
        </w:rPr>
      </w:pPr>
    </w:p>
    <w:p w:rsidR="00D5137A" w:rsidRPr="00317EBB" w:rsidRDefault="00D5137A" w:rsidP="00ED65FA">
      <w:pPr>
        <w:pStyle w:val="Zkladntextodsazen31"/>
        <w:tabs>
          <w:tab w:val="clear" w:pos="426"/>
        </w:tabs>
        <w:ind w:left="1080"/>
      </w:pPr>
    </w:p>
    <w:p w:rsidR="00D5137A" w:rsidRDefault="00D5137A"/>
    <w:sectPr w:rsidR="00D5137A" w:rsidSect="004C62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7A" w:rsidRDefault="00D5137A" w:rsidP="00ED65FA">
      <w:r>
        <w:separator/>
      </w:r>
    </w:p>
  </w:endnote>
  <w:endnote w:type="continuationSeparator" w:id="1">
    <w:p w:rsidR="00D5137A" w:rsidRDefault="00D5137A" w:rsidP="00ED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7A" w:rsidRDefault="00D5137A" w:rsidP="00ED65FA">
      <w:r>
        <w:separator/>
      </w:r>
    </w:p>
  </w:footnote>
  <w:footnote w:type="continuationSeparator" w:id="1">
    <w:p w:rsidR="00D5137A" w:rsidRDefault="00D5137A" w:rsidP="00ED65FA">
      <w:r>
        <w:continuationSeparator/>
      </w:r>
    </w:p>
  </w:footnote>
  <w:footnote w:id="2">
    <w:p w:rsidR="00D5137A" w:rsidRDefault="00D5137A" w:rsidP="00ED65FA">
      <w:pPr>
        <w:pStyle w:val="Footer"/>
        <w:rPr>
          <w:sz w:val="16"/>
        </w:rPr>
      </w:pPr>
      <w:r>
        <w:rPr>
          <w:rStyle w:val="FootnoteReference"/>
        </w:rPr>
        <w:footnoteRef/>
      </w:r>
      <w:r w:rsidRPr="007E3B41">
        <w:rPr>
          <w:vertAlign w:val="superscript"/>
        </w:rPr>
        <w:t>)</w:t>
      </w:r>
      <w:r>
        <w:rPr>
          <w:sz w:val="16"/>
        </w:rPr>
        <w:t>Pohoštěním není společné stravování poskytované účastníkům sportovních akcí, soustředění a výcvikových táborů.</w:t>
      </w:r>
    </w:p>
    <w:p w:rsidR="00D5137A" w:rsidRDefault="00D5137A" w:rsidP="00ED65FA">
      <w:pPr>
        <w:pStyle w:val="Footer"/>
      </w:pPr>
    </w:p>
  </w:footnote>
  <w:footnote w:id="3">
    <w:p w:rsidR="00D5137A" w:rsidRDefault="00D5137A" w:rsidP="00ED65FA">
      <w:pPr>
        <w:pStyle w:val="BodyText2"/>
        <w:spacing w:after="0" w:line="240" w:lineRule="atLeast"/>
        <w:ind w:left="142" w:hanging="142"/>
        <w:rPr>
          <w:sz w:val="16"/>
        </w:rPr>
      </w:pPr>
      <w:r>
        <w:rPr>
          <w:rStyle w:val="FootnoteReference"/>
        </w:rPr>
        <w:footnoteRef/>
      </w:r>
      <w:r>
        <w:rPr>
          <w:rStyle w:val="FootnoteReference"/>
        </w:rPr>
        <w:t>)</w:t>
      </w:r>
      <w:r>
        <w:rPr>
          <w:sz w:val="16"/>
        </w:rPr>
        <w:t>Domácími mistrovskými soutěžemi jsou dlouhodobé i jednorázové soutěže, v nichž je udělován titul Mistr nebo Přeborník republiky,  kraje, župy, okresu apod. nebo obdobný titul v rámci sportovního sdružení.</w:t>
      </w:r>
    </w:p>
    <w:p w:rsidR="00D5137A" w:rsidRDefault="00D5137A" w:rsidP="00ED65FA">
      <w:pPr>
        <w:pStyle w:val="BodyText2"/>
        <w:spacing w:after="0" w:line="240" w:lineRule="atLeast"/>
        <w:ind w:left="142" w:hanging="142"/>
      </w:pPr>
    </w:p>
  </w:footnote>
  <w:footnote w:id="4">
    <w:p w:rsidR="00D5137A" w:rsidRDefault="00D5137A" w:rsidP="00ED65FA">
      <w:pPr>
        <w:pStyle w:val="FootnoteText"/>
      </w:pPr>
      <w:r>
        <w:rPr>
          <w:rStyle w:val="FootnoteReference"/>
        </w:rPr>
        <w:footnoteRef/>
      </w:r>
      <w:r>
        <w:rPr>
          <w:vertAlign w:val="superscript"/>
        </w:rPr>
        <w:t xml:space="preserve">)  </w:t>
      </w:r>
      <w:r>
        <w:rPr>
          <w:sz w:val="16"/>
        </w:rPr>
        <w:t>o výjimku NNO  žádá MŠMT v mimořádné situaci s uvedením důvodu.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7665"/>
    <w:multiLevelType w:val="hybridMultilevel"/>
    <w:tmpl w:val="5CFEE93A"/>
    <w:lvl w:ilvl="0" w:tplc="5CE4F3EE">
      <w:start w:val="1"/>
      <w:numFmt w:val="decimal"/>
      <w:lvlText w:val="%1."/>
      <w:lvlJc w:val="left"/>
      <w:pPr>
        <w:tabs>
          <w:tab w:val="num" w:pos="3828"/>
        </w:tabs>
        <w:ind w:left="4111" w:hanging="283"/>
      </w:pPr>
      <w:rPr>
        <w:rFonts w:cs="Times New Roman" w:hint="default"/>
      </w:rPr>
    </w:lvl>
    <w:lvl w:ilvl="1" w:tplc="BB0A22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42DB07C1"/>
    <w:multiLevelType w:val="multilevel"/>
    <w:tmpl w:val="B3ECFE34"/>
    <w:lvl w:ilvl="0">
      <w:start w:val="1"/>
      <w:numFmt w:val="decimal"/>
      <w:lvlText w:val="%1."/>
      <w:lvlJc w:val="left"/>
      <w:pPr>
        <w:tabs>
          <w:tab w:val="num" w:pos="1571"/>
        </w:tabs>
        <w:ind w:left="1571"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472221E0"/>
    <w:multiLevelType w:val="hybridMultilevel"/>
    <w:tmpl w:val="FD0088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0601F9"/>
    <w:multiLevelType w:val="hybridMultilevel"/>
    <w:tmpl w:val="66D695E0"/>
    <w:lvl w:ilvl="0" w:tplc="521C908C">
      <w:start w:val="1"/>
      <w:numFmt w:val="lowerLetter"/>
      <w:lvlText w:val="%1)"/>
      <w:lvlJc w:val="left"/>
      <w:pPr>
        <w:tabs>
          <w:tab w:val="num" w:pos="450"/>
        </w:tabs>
        <w:ind w:left="450" w:hanging="450"/>
      </w:pPr>
      <w:rPr>
        <w:rFonts w:cs="Times New Roman" w:hint="default"/>
        <w:color w:val="auto"/>
      </w:rPr>
    </w:lvl>
    <w:lvl w:ilvl="1" w:tplc="FFFFFFFF">
      <w:start w:val="4"/>
      <w:numFmt w:val="decimal"/>
      <w:lvlText w:val="%2."/>
      <w:lvlJc w:val="left"/>
      <w:pPr>
        <w:tabs>
          <w:tab w:val="num" w:pos="720"/>
        </w:tabs>
        <w:ind w:left="1003" w:hanging="283"/>
      </w:pPr>
      <w:rPr>
        <w:rFonts w:cs="Times New Roman" w:hint="default"/>
        <w:b/>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5C725E0D"/>
    <w:multiLevelType w:val="hybridMultilevel"/>
    <w:tmpl w:val="ABE01F00"/>
    <w:lvl w:ilvl="0" w:tplc="0976693E">
      <w:start w:val="1"/>
      <w:numFmt w:val="lowerLetter"/>
      <w:lvlText w:val="%1)"/>
      <w:lvlJc w:val="left"/>
      <w:pPr>
        <w:tabs>
          <w:tab w:val="num" w:pos="783"/>
        </w:tabs>
        <w:ind w:left="783" w:hanging="423"/>
      </w:pPr>
      <w:rPr>
        <w:rFonts w:cs="Times New Roman"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679766F"/>
    <w:multiLevelType w:val="hybridMultilevel"/>
    <w:tmpl w:val="C968450A"/>
    <w:lvl w:ilvl="0" w:tplc="60C24C94">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B1135E8"/>
    <w:multiLevelType w:val="singleLevel"/>
    <w:tmpl w:val="9CCAA13A"/>
    <w:lvl w:ilvl="0">
      <w:start w:val="1"/>
      <w:numFmt w:val="lowerLetter"/>
      <w:lvlText w:val="%1)"/>
      <w:lvlJc w:val="left"/>
      <w:pPr>
        <w:tabs>
          <w:tab w:val="num" w:pos="810"/>
        </w:tabs>
        <w:ind w:left="810" w:hanging="450"/>
      </w:pPr>
      <w:rPr>
        <w:rFonts w:cs="Times New Roman" w:hint="default"/>
      </w:rPr>
    </w:lvl>
  </w:abstractNum>
  <w:abstractNum w:abstractNumId="7">
    <w:nsid w:val="777E7831"/>
    <w:multiLevelType w:val="hybridMultilevel"/>
    <w:tmpl w:val="82825686"/>
    <w:lvl w:ilvl="0" w:tplc="60C24C94">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F163BEB"/>
    <w:multiLevelType w:val="hybridMultilevel"/>
    <w:tmpl w:val="DD5A556A"/>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5FA"/>
    <w:rsid w:val="00055F6A"/>
    <w:rsid w:val="000678B7"/>
    <w:rsid w:val="0007461B"/>
    <w:rsid w:val="0013710D"/>
    <w:rsid w:val="00144E43"/>
    <w:rsid w:val="001B0894"/>
    <w:rsid w:val="00266F7D"/>
    <w:rsid w:val="00317EBB"/>
    <w:rsid w:val="0040354F"/>
    <w:rsid w:val="004553C2"/>
    <w:rsid w:val="004C628E"/>
    <w:rsid w:val="005B194B"/>
    <w:rsid w:val="00644047"/>
    <w:rsid w:val="006C73C3"/>
    <w:rsid w:val="00781363"/>
    <w:rsid w:val="007E3B41"/>
    <w:rsid w:val="007F57B9"/>
    <w:rsid w:val="008379CD"/>
    <w:rsid w:val="008C68B5"/>
    <w:rsid w:val="009D43E1"/>
    <w:rsid w:val="00A30F70"/>
    <w:rsid w:val="00AA2295"/>
    <w:rsid w:val="00BC294F"/>
    <w:rsid w:val="00C317AF"/>
    <w:rsid w:val="00D5137A"/>
    <w:rsid w:val="00E665CF"/>
    <w:rsid w:val="00ED65FA"/>
    <w:rsid w:val="00FE6BC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ED65FA"/>
    <w:pPr>
      <w:keepNext/>
      <w:jc w:val="both"/>
      <w:outlineLvl w:val="0"/>
    </w:pPr>
    <w:rPr>
      <w:sz w:val="24"/>
    </w:rPr>
  </w:style>
  <w:style w:type="paragraph" w:styleId="Heading2">
    <w:name w:val="heading 2"/>
    <w:basedOn w:val="Normal"/>
    <w:next w:val="Normal"/>
    <w:link w:val="Heading2Char"/>
    <w:uiPriority w:val="99"/>
    <w:qFormat/>
    <w:rsid w:val="00ED65F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5FA"/>
    <w:rPr>
      <w:rFonts w:ascii="Times New Roman" w:hAnsi="Times New Roman" w:cs="Times New Roman"/>
      <w:sz w:val="20"/>
      <w:szCs w:val="20"/>
      <w:lang w:eastAsia="cs-CZ"/>
    </w:rPr>
  </w:style>
  <w:style w:type="character" w:customStyle="1" w:styleId="Heading2Char">
    <w:name w:val="Heading 2 Char"/>
    <w:basedOn w:val="DefaultParagraphFont"/>
    <w:link w:val="Heading2"/>
    <w:uiPriority w:val="99"/>
    <w:locked/>
    <w:rsid w:val="00ED65FA"/>
    <w:rPr>
      <w:rFonts w:ascii="Arial" w:hAnsi="Arial" w:cs="Arial"/>
      <w:b/>
      <w:bCs/>
      <w:i/>
      <w:iCs/>
      <w:sz w:val="28"/>
      <w:szCs w:val="28"/>
      <w:lang w:eastAsia="cs-CZ"/>
    </w:rPr>
  </w:style>
  <w:style w:type="paragraph" w:styleId="Footer">
    <w:name w:val="footer"/>
    <w:basedOn w:val="Normal"/>
    <w:link w:val="FooterChar"/>
    <w:uiPriority w:val="99"/>
    <w:rsid w:val="00ED65FA"/>
    <w:pPr>
      <w:tabs>
        <w:tab w:val="center" w:pos="4536"/>
        <w:tab w:val="right" w:pos="9072"/>
      </w:tabs>
    </w:pPr>
  </w:style>
  <w:style w:type="character" w:customStyle="1" w:styleId="FooterChar">
    <w:name w:val="Footer Char"/>
    <w:basedOn w:val="DefaultParagraphFont"/>
    <w:link w:val="Footer"/>
    <w:uiPriority w:val="99"/>
    <w:locked/>
    <w:rsid w:val="00ED65FA"/>
    <w:rPr>
      <w:rFonts w:ascii="Times New Roman" w:hAnsi="Times New Roman" w:cs="Times New Roman"/>
      <w:sz w:val="20"/>
      <w:szCs w:val="20"/>
      <w:lang w:eastAsia="cs-CZ"/>
    </w:rPr>
  </w:style>
  <w:style w:type="paragraph" w:customStyle="1" w:styleId="ku">
    <w:name w:val="ku"/>
    <w:link w:val="kuChar"/>
    <w:uiPriority w:val="99"/>
    <w:rsid w:val="00ED65FA"/>
    <w:pPr>
      <w:jc w:val="both"/>
    </w:pPr>
    <w:rPr>
      <w:rFonts w:ascii="Times New Roman" w:hAnsi="Times New Roman"/>
    </w:rPr>
  </w:style>
  <w:style w:type="paragraph" w:styleId="FootnoteText">
    <w:name w:val="footnote text"/>
    <w:basedOn w:val="Normal"/>
    <w:link w:val="FootnoteTextChar"/>
    <w:uiPriority w:val="99"/>
    <w:semiHidden/>
    <w:rsid w:val="00ED65FA"/>
  </w:style>
  <w:style w:type="character" w:customStyle="1" w:styleId="FootnoteTextChar">
    <w:name w:val="Footnote Text Char"/>
    <w:basedOn w:val="DefaultParagraphFont"/>
    <w:link w:val="FootnoteText"/>
    <w:uiPriority w:val="99"/>
    <w:semiHidden/>
    <w:locked/>
    <w:rsid w:val="00ED65FA"/>
    <w:rPr>
      <w:rFonts w:ascii="Times New Roman" w:hAnsi="Times New Roman" w:cs="Times New Roman"/>
      <w:sz w:val="20"/>
      <w:szCs w:val="20"/>
      <w:lang w:eastAsia="cs-CZ"/>
    </w:rPr>
  </w:style>
  <w:style w:type="character" w:styleId="FootnoteReference">
    <w:name w:val="footnote reference"/>
    <w:basedOn w:val="DefaultParagraphFont"/>
    <w:uiPriority w:val="99"/>
    <w:semiHidden/>
    <w:rsid w:val="00ED65FA"/>
    <w:rPr>
      <w:rFonts w:cs="Times New Roman"/>
      <w:vertAlign w:val="superscript"/>
    </w:rPr>
  </w:style>
  <w:style w:type="paragraph" w:styleId="BodyText2">
    <w:name w:val="Body Text 2"/>
    <w:basedOn w:val="Normal"/>
    <w:link w:val="BodyText2Char"/>
    <w:uiPriority w:val="99"/>
    <w:rsid w:val="00ED65FA"/>
    <w:pPr>
      <w:spacing w:after="120" w:line="480" w:lineRule="auto"/>
    </w:pPr>
  </w:style>
  <w:style w:type="character" w:customStyle="1" w:styleId="BodyText2Char">
    <w:name w:val="Body Text 2 Char"/>
    <w:basedOn w:val="DefaultParagraphFont"/>
    <w:link w:val="BodyText2"/>
    <w:uiPriority w:val="99"/>
    <w:locked/>
    <w:rsid w:val="00ED65FA"/>
    <w:rPr>
      <w:rFonts w:ascii="Times New Roman" w:hAnsi="Times New Roman" w:cs="Times New Roman"/>
      <w:sz w:val="20"/>
      <w:szCs w:val="20"/>
      <w:lang w:eastAsia="cs-CZ"/>
    </w:rPr>
  </w:style>
  <w:style w:type="paragraph" w:customStyle="1" w:styleId="Zkladntextodsazen31">
    <w:name w:val="Základní text odsazený 31"/>
    <w:basedOn w:val="Normal"/>
    <w:uiPriority w:val="99"/>
    <w:rsid w:val="00ED65FA"/>
    <w:pPr>
      <w:tabs>
        <w:tab w:val="left" w:pos="426"/>
      </w:tabs>
      <w:ind w:left="810"/>
      <w:jc w:val="both"/>
    </w:pPr>
    <w:rPr>
      <w:sz w:val="24"/>
    </w:rPr>
  </w:style>
  <w:style w:type="paragraph" w:styleId="ListParagraph">
    <w:name w:val="List Paragraph"/>
    <w:basedOn w:val="Normal"/>
    <w:uiPriority w:val="99"/>
    <w:qFormat/>
    <w:rsid w:val="00ED65FA"/>
    <w:pPr>
      <w:ind w:left="708"/>
    </w:pPr>
  </w:style>
  <w:style w:type="character" w:customStyle="1" w:styleId="kuChar">
    <w:name w:val="ku Char"/>
    <w:link w:val="ku"/>
    <w:uiPriority w:val="99"/>
    <w:locked/>
    <w:rsid w:val="00ED65FA"/>
    <w:rPr>
      <w:rFonts w:ascii="Times New Roman" w:hAnsi="Times New Roman"/>
      <w:sz w:val="22"/>
      <w:lang w:eastAsia="cs-CZ"/>
    </w:rPr>
  </w:style>
  <w:style w:type="paragraph" w:styleId="BodyTextIndent">
    <w:name w:val="Body Text Indent"/>
    <w:basedOn w:val="Normal"/>
    <w:link w:val="BodyTextIndentChar"/>
    <w:uiPriority w:val="99"/>
    <w:semiHidden/>
    <w:rsid w:val="00ED65FA"/>
    <w:pPr>
      <w:spacing w:after="120"/>
      <w:ind w:left="283"/>
    </w:pPr>
  </w:style>
  <w:style w:type="character" w:customStyle="1" w:styleId="BodyTextIndentChar">
    <w:name w:val="Body Text Indent Char"/>
    <w:basedOn w:val="DefaultParagraphFont"/>
    <w:link w:val="BodyTextIndent"/>
    <w:uiPriority w:val="99"/>
    <w:semiHidden/>
    <w:locked/>
    <w:rsid w:val="00ED65FA"/>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648</Words>
  <Characters>3829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Účelové určení a podmínky použití neinvestičních dotací </dc:title>
  <dc:subject/>
  <dc:creator>Civínová Lenka</dc:creator>
  <cp:keywords/>
  <dc:description/>
  <cp:lastModifiedBy>user</cp:lastModifiedBy>
  <cp:revision>2</cp:revision>
  <dcterms:created xsi:type="dcterms:W3CDTF">2012-05-29T11:37:00Z</dcterms:created>
  <dcterms:modified xsi:type="dcterms:W3CDTF">2012-05-29T11:37:00Z</dcterms:modified>
</cp:coreProperties>
</file>